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和豆包的对话_1016</w:t>
      </w:r>
    </w:p>
    <w:p>
      <w:pPr>
        <w:pStyle w:val="Heading1"/>
      </w:pPr>
      <w:r>
        <w:t xml:space="preserve">电诈对缅甸当前局势的深层影响：战乱、割据与人道危机的“加速器”</w:t>
      </w:r>
    </w:p>
    <w:p>
      <w:pPr>
        <w:pStyle w:val="text"/>
      </w:pPr>
      <w:r>
        <w:t xml:space="preserve">缅甸电诈问题已超越单纯犯罪范畴，成为激化民族矛盾、支撑武装割据、摧毁社会基础的“系统性毒瘤”，其影响深度嵌入缅甸政治、经济、社会的肌理，具体表现为：</w:t>
      </w:r>
    </w:p>
    <w:p>
      <w:pPr>
        <w:pStyle w:val="Heading3"/>
      </w:pPr>
      <w:r>
        <w:t xml:space="preserve">一、</w:t>
      </w:r>
      <w:r>
        <w:rPr>
          <w:b/>
          <w:bCs/>
        </w:rPr>
        <w:t xml:space="preserve">政治割据：电诈成为地方武装“以诈养军”的生存逻辑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武装势力与电诈集团的共生关系</w:t>
      </w:r>
      <w:r>
        <w:t xml:space="preserve">缅北民地武（如果敢同盟军、佤邦联合军）及缅东克伦武装，通过收取电诈园区“保护费”（每亩每年50万-100万美元）、直接持股（佤邦勐能县将学校改电诈园区）获取军费。2021年政变后，敏昂莱政府控制力下降，地方武装为对抗政府军，将电诈收入占比提升至军费的60%以上（如果敢“四大家族”年获利超20亿美元）。</w:t>
      </w:r>
      <w:r>
        <w:rPr>
          <w:i/>
          <w:iCs/>
        </w:rPr>
        <w:t xml:space="preserve">案例</w:t>
      </w:r>
      <w:r>
        <w:t xml:space="preserve">：2025年4月，缅甸当阳920名涉诈人员被移交中方，暴露出掸邦南部武装默许电诈转移至纵深地带，形成“军事割据-犯罪经济”闭环。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中央与地方的治理撕裂</w:t>
      </w:r>
      <w:r>
        <w:t xml:space="preserve">敏昂莱政府虽在2023年宣布打击电诈，但63个“战区镇区”（含当阳、勐休）多为武装控制区，政府军无法实际执法。联合国报告指出，缅甸411个镇区中，144个由民地武或PDF控制，电诈成为这些区域的“合法经济”，甚至替代税收（如佤邦电诈贡献地方GDP的45%）。</w:t>
      </w:r>
    </w:p>
    <w:p>
      <w:pPr>
        <w:pStyle w:val="Heading3"/>
      </w:pPr>
      <w:r>
        <w:t xml:space="preserve">二、</w:t>
      </w:r>
      <w:r>
        <w:rPr>
          <w:b/>
          <w:bCs/>
        </w:rPr>
        <w:t xml:space="preserve">经济崩溃：非法经济吞噬正规产业，青年沦为“犯罪耗材”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电诈主导的“黑色经济”替代效应</w:t>
      </w:r>
      <w:r>
        <w:t xml:space="preserve">2024年缅甸正规GDP萎缩9%，但电诈、赌博、毒品等非法经济规模达300亿美元（占GDP的28%）。缅北玉石矿区因电诈资金涌入，形成“诈骗-洗钱-资源掠夺”链条，帕敢9大矿区被军政府与电诈集团联合控制，2025年玉石走私额超80亿美元。</w:t>
      </w:r>
      <w:r>
        <w:rPr>
          <w:i/>
          <w:iCs/>
        </w:rPr>
        <w:t xml:space="preserve">数据</w:t>
      </w:r>
      <w:r>
        <w:t xml:space="preserve">：缅甸央行统计，2024年缅元黑市汇率暴跌70%（1美元兑4520缅元），电诈集团通过地下钱庄洗钱，占黑市交易的60%。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青年“犯罪化”与人口危机</w:t>
      </w:r>
      <w:r>
        <w:t xml:space="preserve">全国青年失业率达32%（2025年联合国数据），超200万16-25岁青年加入电诈或武装（政府军/民地武）。佤邦、果敢等地出现“全民参与电诈”现象：学校组织学生“兼职”打字（实为话术培训），村民出租房屋获“保护费”，形成“贫困-犯罪-更贫困”循环。</w:t>
      </w:r>
      <w:r>
        <w:rPr>
          <w:i/>
          <w:iCs/>
        </w:rPr>
        <w:t xml:space="preserve">案例</w:t>
      </w:r>
      <w:r>
        <w:t xml:space="preserve">：澎湃新闻曝光，缅北电诈园区将中国人标价30-40万元贩卖，本地青年因“业绩不达标”遭酷刑（如拔指甲、水牢），2024年园区虐杀案超2000起。</w:t>
      </w:r>
    </w:p>
    <w:p>
      <w:pPr>
        <w:pStyle w:val="Heading3"/>
      </w:pPr>
      <w:r>
        <w:t xml:space="preserve">三、</w:t>
      </w:r>
      <w:r>
        <w:rPr>
          <w:b/>
          <w:bCs/>
        </w:rPr>
        <w:t xml:space="preserve">社会撕裂：人道危机与族群对立的恶性循环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跨境犯罪引发的区域对立</w:t>
      </w:r>
      <w:r>
        <w:t xml:space="preserve">电诈集团以“远征军”“高薪务工”为诱饵（如环球人物网揭露的短视频引流），诱骗中、泰、印等国公民，仅2023-2025年就有超10万中国人被困。缅甸地方武装为“保护税源”，与中国边境警方发生摩擦（如2024年1月木姐口岸冲突），加剧缅族与华人族群矛盾。</w:t>
      </w:r>
      <w:r>
        <w:rPr>
          <w:i/>
          <w:iCs/>
        </w:rPr>
        <w:t xml:space="preserve">数据</w:t>
      </w:r>
      <w:r>
        <w:t xml:space="preserve">：中国公安部累计解救5.5万涉诈人员，但仍有3万余人被困缅东妙瓦底等“三不管”地带。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基础设施的“犯罪化改造”</w:t>
      </w:r>
      <w:r>
        <w:t xml:space="preserve">电诈园区军事化：高墙、铁丝网、碉堡、地牢成为标配（如澎湃新闻曝光的果敢园区），部分地区医院、学校被改作“惩戒中心”。若开邦因电诈资金涌入，70%的新建建筑为加密办公楼（实为诈骗窝点），2025年飓风“摩卡”摧毁的电诈园区中，发现儿童被迫参与洗钱。</w:t>
      </w:r>
    </w:p>
    <w:p>
      <w:pPr>
        <w:pStyle w:val="Heading3"/>
      </w:pPr>
      <w:r>
        <w:t xml:space="preserve">四、</w:t>
      </w:r>
      <w:r>
        <w:rPr>
          <w:b/>
          <w:bCs/>
        </w:rPr>
        <w:t xml:space="preserve">国际博弈：电诈成为地缘干预的“灰色工具”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中缅泰联合打击的局限性</w:t>
      </w:r>
      <w:r>
        <w:t xml:space="preserve">2023-2025年，三国清除缅北200余个园区，但电诈向缅东（妙瓦底）、掸邦纵深（当阳）转移，利用泰缅边境湄索“中转站”（简琨益分析），通过星链通信、加密货币规避打击。美国“老虎军火”被查事件（2025年8月）揭露，部分电诈资金被用于资助MNDF（民族团结政府武装），形成“电诈-军火-内战”三角循环。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区域安全的外溢效应</w:t>
      </w:r>
      <w:r>
        <w:t xml:space="preserve">电诈衍生的人口贩卖、毒品走私已波及东南亚全域：泰国湄索2024年查获3000具无名尸（多为电诈受害者），印度阿萨姆邦因缅北电诈渗透，2025年跨境犯罪率上升40%。联合国警告，缅甸电诈已成为“全球数字犯罪枢纽”，2024年通过AI语音诈骗致使欧美损失超15亿美元。</w:t>
      </w:r>
    </w:p>
    <w:p>
      <w:pPr>
        <w:pStyle w:val="Heading3"/>
      </w:pPr>
      <w:r>
        <w:t xml:space="preserve">五、</w:t>
      </w:r>
      <w:r>
        <w:rPr>
          <w:b/>
          <w:bCs/>
        </w:rPr>
        <w:t xml:space="preserve">未来危机：电诈如何“锁死”缅甸和平可能？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大选背景下的“犯罪动员”</w:t>
      </w:r>
      <w:r>
        <w:t xml:space="preserve">敏昂莱政府2025年划设63个“战区镇区”，试图清场后操控选举，但电诈武装（如克伦军）为保住财源，誓言“大选即战争”。若开邦、克钦邦的电诈收入直接支撑反政府武装，导致和谈破裂（2025年1月中缅斡旋的停火仅维持23天）。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人道与发展的“双重崩溃”</w:t>
      </w:r>
      <w:r>
        <w:t xml:space="preserve">联合国开发计划署报告指出，电诈导致缅甸50%儿童失学、350万人流离失所，若开邦2025年粮食自给率仅20%。更严峻的是，电诈摧毁了缅甸仅存的“中间阶层”：教师、医生被迫参与犯罪，2024年专业人才外流达370万人，国家重建能力趋近于零。</w:t>
      </w:r>
    </w:p>
    <w:p>
      <w:pPr>
        <w:pStyle w:val="Heading3"/>
      </w:pPr>
      <w:r>
        <w:t xml:space="preserve">结论：电诈是缅甸“失败国家”的具象化</w:t>
      </w:r>
    </w:p>
    <w:p>
      <w:pPr>
        <w:pStyle w:val="text"/>
      </w:pPr>
      <w:r>
        <w:t xml:space="preserve">缅甸电诈已非简单治安问题，而是政治分裂、经济畸形、社会溃败的集中体现。地方武装借电诈“续命”，中央政府因腐败“养诈”，国际干预因地缘“纵诈”，最终形成“越打越诈、越诈越乱”的死局。若不解决“电诈-武装-贫困”的三角关系，缅甸或将成为首个因数字犯罪彻底崩溃的国家，其教训远超地域，警示全球治理体系的深层漏洞。</w:t>
      </w:r>
    </w:p>
    <w:p>
      <w:pPr>
        <w:pStyle w:val="text"/>
      </w:pPr>
      <w:r>
        <w:t xml:space="preserve">(豆包AI生成)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lowerLetter"/>
      <w:lvlText w:val="%2.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lowerRoman"/>
      <w:lvlText w:val="%3.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bullet"/>
      <w:lvlText w:val="◦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bullet"/>
      <w:lvlText w:val="▪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4" w15:restartNumberingAfterBreak="0">
    <w:multiLevelType w:val="hybridMultilevel"/>
    <w:lvl w:ilvl="0" w15:tentative="1">
      <w:start w:val="1"/>
      <w:numFmt w:val="custom"/>
      <w:lvlText w:val="☐"/>
      <w:lvlJc w:val="start"/>
      <w:pPr>
        <w:ind w:left="288" w:hanging="288"/>
      </w:pPr>
    </w:lvl>
    <w:lvl w:ilvl="1" w15:tentative="1">
      <w:start w:val="1"/>
      <w:numFmt w:val="custom"/>
      <w:lvlText w:val="☐"/>
      <w:lvlJc w:val="start"/>
      <w:pPr>
        <w:ind w:left="720" w:hanging="288"/>
      </w:pPr>
    </w:lvl>
    <w:lvl w:ilvl="2" w15:tentative="1">
      <w:start w:val="1"/>
      <w:numFmt w:val="custom"/>
      <w:lvlText w:val="☐"/>
      <w:lvlJc w:val="start"/>
      <w:pPr>
        <w:ind w:left="1152" w:hanging="288"/>
      </w:pPr>
    </w:lvl>
  </w:abstractNum>
  <w:abstractNum w:abstractNumId="5" w15:restartNumberingAfterBreak="0">
    <w:multiLevelType w:val="hybridMultilevel"/>
    <w:lvl w:ilvl="0" w15:tentative="1">
      <w:start w:val="1"/>
      <w:numFmt w:val="custom"/>
      <w:lvlText w:val="☑"/>
      <w:lvlJc w:val="start"/>
      <w:pPr>
        <w:ind w:left="288" w:hanging="288"/>
      </w:pPr>
    </w:lvl>
    <w:lvl w:ilvl="1" w15:tentative="1">
      <w:start w:val="1"/>
      <w:numFmt w:val="custom"/>
      <w:lvlText w:val="☑"/>
      <w:lvlJc w:val="start"/>
      <w:pPr>
        <w:ind w:left="720" w:hanging="288"/>
      </w:pPr>
    </w:lvl>
    <w:lvl w:ilvl="2" w15:tentative="1">
      <w:start w:val="1"/>
      <w:numFmt w:val="custom"/>
      <w:lvlText w:val="☑"/>
      <w:lvlJc w:val="start"/>
      <w:pPr>
        <w:ind w:left="1152" w:hanging="288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pPr>
      <w:spacing w:before="480" w:after="480" w:line="288" w:lineRule="auto"/>
      <w:ind w:left="0"/>
    </w:pPr>
    <w:rPr>
      <w:b/>
      <w:bCs/>
      <w:sz w:val="52"/>
      <w:szCs w:val="52"/>
      <w:rFonts w:ascii="Arial" w:hAnsi="Arial" w:eastAsia="等线" w:cs="Arial"/>
    </w:rPr>
  </w:style>
  <w:style w:type="paragraph" w:styleId="Heading1">
    <w:name w:val="Heading 1"/>
    <w:basedOn w:val="Normal"/>
    <w:next w:val="Normal"/>
    <w:qFormat/>
    <w:pPr>
      <w:spacing w:before="380" w:after="140" w:line="288" w:lineRule="auto"/>
      <w:ind w:left="0"/>
      <w:jc w:val="left"/>
      <w:outlineLvl w:val="0"/>
    </w:pPr>
    <w:rPr>
      <w:b/>
      <w:bCs/>
      <w:sz w:val="36"/>
      <w:szCs w:val="36"/>
      <w:rFonts w:ascii="Arial" w:hAnsi="Arial" w:eastAsia="等线" w:cs="Arial"/>
    </w:rPr>
  </w:style>
  <w:style w:type="paragraph" w:styleId="Heading2">
    <w:name w:val="Heading 2"/>
    <w:basedOn w:val="Normal"/>
    <w:next w:val="Normal"/>
    <w:qFormat/>
    <w:pPr>
      <w:spacing w:before="320" w:after="120" w:line="288" w:lineRule="auto"/>
      <w:ind w:left="0"/>
      <w:jc w:val="left"/>
      <w:outlineLvl w:val="1"/>
    </w:pPr>
    <w:rPr>
      <w:b/>
      <w:bCs/>
      <w:sz w:val="32"/>
      <w:szCs w:val="32"/>
      <w:rFonts w:ascii="Arial" w:hAnsi="Arial" w:eastAsia="等线" w:cs="Arial"/>
    </w:rPr>
  </w:style>
  <w:style w:type="paragraph" w:styleId="Heading3">
    <w:name w:val="Heading 3"/>
    <w:basedOn w:val="Normal"/>
    <w:next w:val="Normal"/>
    <w:qFormat/>
    <w:pPr>
      <w:spacing w:before="300" w:after="120" w:line="288" w:lineRule="auto"/>
      <w:ind w:left="0"/>
      <w:jc w:val="left"/>
      <w:outlineLvl w:val="2"/>
    </w:pPr>
    <w:rPr>
      <w:b/>
      <w:bCs/>
      <w:sz w:val="30"/>
      <w:szCs w:val="30"/>
      <w:rFonts w:ascii="Arial" w:hAnsi="Arial" w:eastAsia="等线" w:cs="Arial"/>
    </w:rPr>
  </w:style>
  <w:style w:type="paragraph" w:styleId="Heading4">
    <w:name w:val="Heading 4"/>
    <w:basedOn w:val="Normal"/>
    <w:next w:val="Normal"/>
    <w:qFormat/>
    <w:pPr>
      <w:spacing w:before="260" w:after="120" w:line="288" w:lineRule="auto"/>
      <w:ind w:left="0"/>
      <w:jc w:val="left"/>
      <w:outlineLvl w:val="3"/>
    </w:pPr>
    <w:rPr>
      <w:b/>
      <w:bCs/>
      <w:sz w:val="28"/>
      <w:szCs w:val="28"/>
      <w:rFonts w:ascii="Arial" w:hAnsi="Arial" w:eastAsia="等线" w:cs="Arial"/>
    </w:rPr>
  </w:style>
  <w:style w:type="paragraph" w:styleId="Heading5">
    <w:name w:val="Heading 5"/>
    <w:basedOn w:val="Normal"/>
    <w:next w:val="Normal"/>
    <w:qFormat/>
    <w:pPr>
      <w:spacing w:before="240" w:after="120" w:line="288" w:lineRule="auto"/>
      <w:ind w:left="0"/>
      <w:jc w:val="left"/>
      <w:outlineLvl w:val="4"/>
    </w:pPr>
    <w:rPr>
      <w:b/>
      <w:bCs/>
      <w:sz w:val="24"/>
      <w:szCs w:val="24"/>
      <w:rFonts w:ascii="Arial" w:hAnsi="Arial" w:eastAsia="等线" w:cs="Arial"/>
    </w:rPr>
  </w:style>
  <w:style w:type="paragraph" w:styleId="Heading6">
    <w:name w:val="Heading 6"/>
    <w:basedOn w:val="Normal"/>
    <w:next w:val="Normal"/>
    <w:qFormat/>
    <w:pPr>
      <w:spacing w:before="240" w:after="120" w:line="288" w:lineRule="auto"/>
      <w:ind w:left="0"/>
      <w:jc w:val="left"/>
      <w:outlineLvl w:val="5"/>
    </w:pPr>
    <w:rPr>
      <w:b/>
      <w:bCs/>
      <w:sz w:val="24"/>
      <w:szCs w:val="24"/>
      <w:rFonts w:ascii="Arial" w:hAnsi="Arial" w:eastAsia="等线" w:cs="Arial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ext">
    <w:pPr>
      <w:spacing w:before="120" w:after="120" w:line="288" w:lineRule="auto"/>
      <w:ind w:left="0"/>
      <w:jc w:val="left"/>
    </w:pPr>
    <w:rPr>
      <w:sz w:val="22"/>
      <w:szCs w:val="22"/>
      <w:rFonts w:ascii="Arial" w:hAnsi="Arial" w:eastAsia="等线" w:cs="Arial"/>
    </w:rPr>
  </w:style>
  <w:style w:type="paragraph" w:styleId="blockquote">
    <w:pPr>
      <w:spacing w:before="120" w:after="120" w:line="288" w:lineRule="auto"/>
      <w:ind w:left="0"/>
      <w:jc w:val="left"/>
    </w:pPr>
    <w:rPr>
      <w:color w:val="8F959E"/>
      <w:sz w:val="22"/>
      <w:szCs w:val="22"/>
      <w:rFonts w:ascii="Arial" w:hAnsi="Arial" w:eastAsia="等线" w:cs="Arial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2025-10-16T14:50:38.505Z</dcterms:created>
  <dcterms:modified xsi:type="dcterms:W3CDTF">2025-10-16T14:50:38.509Z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