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3"/>
        <w:keepNext w:val="true"/>
        <w:keepLines/>
        <w:spacing w:before="200" w:after="80"/>
        <w:rPr/>
      </w:pPr>
      <w:bookmarkStart w:id="0" w:name="Xc4d1431077a9eb3f90a4c0eacfa781a2c9bceff"/>
      <w:r>
        <w:rPr>
          <w:b/>
          <w:bCs/>
          <w:sz w:val="30"/>
          <w:szCs w:val="30"/>
        </w:rPr>
        <w:t>10-Minute Speech Script</w:t>
      </w:r>
    </w:p>
    <w:p>
      <w:pPr>
        <w:pStyle w:val="FirstParagraph"/>
        <w:spacing w:lineRule="auto" w:line="420" w:before="0" w:after="120"/>
        <w:rPr/>
      </w:pPr>
      <w:r>
        <w:rPr>
          <w:sz w:val="24"/>
          <w:szCs w:val="24"/>
        </w:rPr>
        <w:t>Good morning, everyone.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Today, my topic is </w:t>
      </w:r>
      <w:r>
        <w:rPr>
          <w:b/>
          <w:bCs/>
          <w:sz w:val="24"/>
          <w:szCs w:val="24"/>
        </w:rPr>
        <w:t>Special Vocational Education and Employment Transition</w:t>
      </w:r>
      <w:r>
        <w:rPr>
          <w:sz w:val="24"/>
          <w:szCs w:val="24"/>
        </w:rPr>
        <w:t>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I will compare two places: </w:t>
      </w:r>
      <w:r>
        <w:rPr>
          <w:b/>
          <w:bCs/>
          <w:sz w:val="24"/>
          <w:szCs w:val="24"/>
        </w:rPr>
        <w:t>Shanghai Fengxian</w:t>
      </w:r>
      <w:r>
        <w:rPr>
          <w:sz w:val="24"/>
          <w:szCs w:val="24"/>
        </w:rPr>
        <w:t> and </w:t>
      </w:r>
      <w:r>
        <w:rPr>
          <w:b/>
          <w:bCs/>
          <w:sz w:val="24"/>
          <w:szCs w:val="24"/>
        </w:rPr>
        <w:t>Kuala Lumpur Metropolitan Area</w:t>
      </w:r>
      <w:r>
        <w:rPr>
          <w:sz w:val="24"/>
          <w:szCs w:val="24"/>
        </w:rPr>
        <w:t>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My main question is simple:</w:t>
      </w:r>
    </w:p>
    <w:p>
      <w:pPr>
        <w:pStyle w:val="Style8"/>
        <w:spacing w:lineRule="auto" w:line="420" w:before="0" w:after="120"/>
        <w:rPr/>
      </w:pPr>
      <w:r>
        <w:rPr>
          <w:b/>
          <w:bCs/>
          <w:sz w:val="24"/>
          <w:szCs w:val="24"/>
        </w:rPr>
        <w:t>How can students with special needs move from school to real work?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And more importantly:</w:t>
      </w:r>
    </w:p>
    <w:p>
      <w:pPr>
        <w:pStyle w:val="Style8"/>
        <w:spacing w:lineRule="auto" w:line="420" w:before="0" w:after="120"/>
        <w:rPr/>
      </w:pPr>
      <w:r>
        <w:rPr>
          <w:b/>
          <w:bCs/>
          <w:sz w:val="24"/>
          <w:szCs w:val="24"/>
        </w:rPr>
        <w:t>How can they keep their jobs?</w:t>
      </w:r>
    </w:p>
    <w:p>
      <w:pPr>
        <w:pStyle w:val="Normal"/>
        <w:rPr/>
      </w:pPr>
      <w:bookmarkStart w:id="1" w:name="Xc4d1431077a9eb3f90a4c0eacfa781a2c9bceff"/>
      <w:r>
        <w:rPr/>
        <mc:AlternateContent>
          <mc:Choice Requires="wps">
            <w:drawing>
              <wp:inline distT="0" distB="0" distL="0" distR="0">
                <wp:extent cx="5943600" cy="19050"/>
                <wp:effectExtent l="0" t="0" r="0" b="0"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0" name=""/>
                        <wps:cNvSpPr/>
                      </wps:nvSpPr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</mc:AlternateContent>
      </w:r>
      <w:bookmarkEnd w:id="1"/>
    </w:p>
    <w:p>
      <w:pPr>
        <w:pStyle w:val="3"/>
        <w:rPr/>
      </w:pPr>
      <w:bookmarkStart w:id="2" w:name="X0c7240226796c4bfd48aa08381cb6110897ca95"/>
      <w:r>
        <w:rPr>
          <w:b/>
          <w:bCs/>
          <w:sz w:val="30"/>
          <w:szCs w:val="30"/>
        </w:rPr>
        <w:t>Slide 1 – Title</w:t>
      </w:r>
    </w:p>
    <w:p>
      <w:pPr>
        <w:pStyle w:val="FirstParagraph"/>
        <w:spacing w:lineRule="auto" w:line="420" w:before="0" w:after="120"/>
        <w:rPr/>
      </w:pPr>
      <w:r>
        <w:rPr>
          <w:sz w:val="24"/>
          <w:szCs w:val="24"/>
        </w:rPr>
        <w:t>This study looks at special vocational education.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It looks at school training, skills, internship, job coach, employment, and job retention.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The two areas are Shanghai Fengxian and Kuala Lumpur.</w:t>
      </w:r>
    </w:p>
    <w:p>
      <w:pPr>
        <w:pStyle w:val="Normal"/>
        <w:rPr/>
      </w:pPr>
      <w:bookmarkStart w:id="3" w:name="X0c7240226796c4bfd48aa08381cb6110897ca95"/>
      <w:r>
        <w:rPr/>
        <mc:AlternateContent>
          <mc:Choice Requires="wps">
            <w:drawing>
              <wp:inline distT="0" distB="0" distL="0" distR="0">
                <wp:extent cx="5943600" cy="19050"/>
                <wp:effectExtent l="0" t="0" r="0" b="0"/>
                <wp:docPr id="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" name=""/>
                        <wps:cNvSpPr/>
                      </wps:nvSpPr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</mc:AlternateContent>
      </w:r>
      <w:bookmarkEnd w:id="3"/>
    </w:p>
    <w:p>
      <w:pPr>
        <w:pStyle w:val="3"/>
        <w:rPr/>
      </w:pPr>
      <w:bookmarkStart w:id="4" w:name="X3fe20baa05c5ec42a279fc5970e73173fb4c1db"/>
      <w:r>
        <w:rPr>
          <w:b/>
          <w:bCs/>
          <w:sz w:val="30"/>
          <w:szCs w:val="30"/>
        </w:rPr>
        <w:t>Slide 2 – Research Background</w:t>
      </w:r>
    </w:p>
    <w:p>
      <w:pPr>
        <w:pStyle w:val="FirstParagraph"/>
        <w:spacing w:lineRule="auto" w:line="420" w:before="0" w:after="120"/>
        <w:rPr/>
      </w:pPr>
      <w:r>
        <w:rPr>
          <w:sz w:val="24"/>
          <w:szCs w:val="24"/>
        </w:rPr>
        <w:t>Many students with special needs can learn skills in school.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But skills are not enough.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The real question is: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Can they move from school to the workplace?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Can they work safely?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Can they keep the job for a long time?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So, we need to look at the whole path:</w:t>
      </w:r>
    </w:p>
    <w:p>
      <w:pPr>
        <w:pStyle w:val="Style8"/>
        <w:spacing w:lineRule="auto" w:line="420" w:before="0" w:after="120"/>
        <w:rPr/>
      </w:pPr>
      <w:r>
        <w:rPr>
          <w:b/>
          <w:bCs/>
          <w:sz w:val="24"/>
          <w:szCs w:val="24"/>
        </w:rPr>
        <w:t>training, internship, job support, and employment.</w:t>
      </w:r>
    </w:p>
    <w:p>
      <w:pPr>
        <w:pStyle w:val="Normal"/>
        <w:rPr/>
      </w:pPr>
      <w:bookmarkStart w:id="5" w:name="X3fe20baa05c5ec42a279fc5970e73173fb4c1db"/>
      <w:r>
        <w:rPr/>
        <mc:AlternateContent>
          <mc:Choice Requires="wps">
            <w:drawing>
              <wp:inline distT="0" distB="0" distL="0" distR="0">
                <wp:extent cx="5943600" cy="19050"/>
                <wp:effectExtent l="0" t="0" r="0" b="0"/>
                <wp:docPr id="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" name=""/>
                        <wps:cNvSpPr/>
                      </wps:nvSpPr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</mc:AlternateContent>
      </w:r>
      <w:bookmarkEnd w:id="5"/>
    </w:p>
    <w:p>
      <w:pPr>
        <w:pStyle w:val="3"/>
        <w:rPr/>
      </w:pPr>
      <w:bookmarkStart w:id="6" w:name="X1d54582a418850b5c35ac460955822ee298298c"/>
      <w:r>
        <w:rPr>
          <w:b/>
          <w:bCs/>
          <w:sz w:val="30"/>
          <w:szCs w:val="30"/>
        </w:rPr>
        <w:t>Slide 3 – Research Objective</w:t>
      </w:r>
    </w:p>
    <w:p>
      <w:pPr>
        <w:pStyle w:val="FirstParagraph"/>
        <w:spacing w:lineRule="auto" w:line="420" w:before="0" w:after="120"/>
        <w:rPr/>
      </w:pPr>
      <w:r>
        <w:rPr>
          <w:sz w:val="24"/>
          <w:szCs w:val="24"/>
        </w:rPr>
        <w:t>This study compares two systems.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One is </w:t>
      </w:r>
      <w:r>
        <w:rPr>
          <w:b/>
          <w:bCs/>
          <w:sz w:val="24"/>
          <w:szCs w:val="24"/>
        </w:rPr>
        <w:t>Shanghai Fengxian</w:t>
      </w:r>
      <w:r>
        <w:rPr>
          <w:sz w:val="24"/>
          <w:szCs w:val="24"/>
        </w:rPr>
        <w:t>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The other is </w:t>
      </w:r>
      <w:r>
        <w:rPr>
          <w:b/>
          <w:bCs/>
          <w:sz w:val="24"/>
          <w:szCs w:val="24"/>
        </w:rPr>
        <w:t>Kuala Lumpur Metropolitan Area</w:t>
      </w:r>
      <w:r>
        <w:rPr>
          <w:sz w:val="24"/>
          <w:szCs w:val="24"/>
        </w:rPr>
        <w:t>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We compare their education systems.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We also compare their employment support systems.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The goal is to find what works well, and what can be improved.</w:t>
      </w:r>
    </w:p>
    <w:p>
      <w:pPr>
        <w:pStyle w:val="Normal"/>
        <w:rPr/>
      </w:pPr>
      <w:bookmarkStart w:id="7" w:name="X1d54582a418850b5c35ac460955822ee298298c"/>
      <w:r>
        <w:rPr/>
        <mc:AlternateContent>
          <mc:Choice Requires="wps">
            <w:drawing>
              <wp:inline distT="0" distB="0" distL="0" distR="0">
                <wp:extent cx="5943600" cy="19050"/>
                <wp:effectExtent l="0" t="0" r="0" b="0"/>
                <wp:docPr id="4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" name=""/>
                        <wps:cNvSpPr/>
                      </wps:nvSpPr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</mc:AlternateContent>
      </w:r>
      <w:bookmarkEnd w:id="7"/>
    </w:p>
    <w:p>
      <w:pPr>
        <w:pStyle w:val="3"/>
        <w:rPr/>
      </w:pPr>
      <w:bookmarkStart w:id="8" w:name="fab11825-e01f-44b6-8714-d38fba770154"/>
      <w:r>
        <w:rPr>
          <w:b/>
          <w:bCs/>
          <w:sz w:val="30"/>
          <w:szCs w:val="30"/>
        </w:rPr>
        <w:t>Slide 4 – Comparative Framework</w:t>
      </w:r>
    </w:p>
    <w:p>
      <w:pPr>
        <w:pStyle w:val="FirstParagraph"/>
        <w:spacing w:lineRule="auto" w:line="420" w:before="0" w:after="120"/>
        <w:rPr/>
      </w:pPr>
      <w:r>
        <w:rPr>
          <w:sz w:val="24"/>
          <w:szCs w:val="24"/>
        </w:rPr>
        <w:t>We use four main parts.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First, </w:t>
      </w:r>
      <w:r>
        <w:rPr>
          <w:b/>
          <w:bCs/>
          <w:sz w:val="24"/>
          <w:szCs w:val="24"/>
        </w:rPr>
        <w:t>policy and institutions</w:t>
      </w:r>
      <w:r>
        <w:rPr>
          <w:sz w:val="24"/>
          <w:szCs w:val="24"/>
        </w:rPr>
        <w:t>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Second, </w:t>
      </w:r>
      <w:r>
        <w:rPr>
          <w:b/>
          <w:bCs/>
          <w:sz w:val="24"/>
          <w:szCs w:val="24"/>
        </w:rPr>
        <w:t>curriculum and certification</w:t>
      </w:r>
      <w:r>
        <w:rPr>
          <w:sz w:val="24"/>
          <w:szCs w:val="24"/>
        </w:rPr>
        <w:t>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Third, </w:t>
      </w:r>
      <w:r>
        <w:rPr>
          <w:b/>
          <w:bCs/>
          <w:sz w:val="24"/>
          <w:szCs w:val="24"/>
        </w:rPr>
        <w:t>internship and job cognition</w:t>
      </w:r>
      <w:r>
        <w:rPr>
          <w:sz w:val="24"/>
          <w:szCs w:val="24"/>
        </w:rPr>
        <w:t>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Fourth, </w:t>
      </w:r>
      <w:r>
        <w:rPr>
          <w:b/>
          <w:bCs/>
          <w:sz w:val="24"/>
          <w:szCs w:val="24"/>
        </w:rPr>
        <w:t>continuous employment support</w:t>
      </w:r>
      <w:r>
        <w:rPr>
          <w:sz w:val="24"/>
          <w:szCs w:val="24"/>
        </w:rPr>
        <w:t>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These four parts help us see the full picture.</w:t>
      </w:r>
    </w:p>
    <w:p>
      <w:pPr>
        <w:pStyle w:val="Normal"/>
        <w:rPr/>
      </w:pPr>
      <w:bookmarkStart w:id="9" w:name="fab11825-e01f-44b6-8714-d38fba770154"/>
      <w:r>
        <w:rPr/>
        <mc:AlternateContent>
          <mc:Choice Requires="wps">
            <w:drawing>
              <wp:inline distT="0" distB="0" distL="0" distR="0">
                <wp:extent cx="5943600" cy="19050"/>
                <wp:effectExtent l="0" t="0" r="0" b="0"/>
                <wp:docPr id="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4" name=""/>
                        <wps:cNvSpPr/>
                      </wps:nvSpPr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</mc:AlternateContent>
      </w:r>
      <w:bookmarkEnd w:id="9"/>
    </w:p>
    <w:p>
      <w:pPr>
        <w:pStyle w:val="3"/>
        <w:rPr/>
      </w:pPr>
      <w:bookmarkStart w:id="10" w:name="b60d8c06-7036-41d3-b118-53190003743b"/>
      <w:r>
        <w:rPr>
          <w:b/>
          <w:bCs/>
          <w:sz w:val="30"/>
          <w:szCs w:val="30"/>
        </w:rPr>
        <w:t>Slide 5 – Why Employment Retention?</w:t>
      </w:r>
    </w:p>
    <w:p>
      <w:pPr>
        <w:pStyle w:val="FirstParagraph"/>
        <w:spacing w:lineRule="auto" w:line="420" w:before="0" w:after="120"/>
        <w:rPr/>
      </w:pPr>
      <w:r>
        <w:rPr>
          <w:sz w:val="24"/>
          <w:szCs w:val="24"/>
        </w:rPr>
        <w:t>Employment is not only about getting a job.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It is also about keeping the job.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Students need task skills.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They also need soft skills.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They need workplace adaptation.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They need social communication.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They also need safe transport and daily support.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So, </w:t>
      </w:r>
      <w:r>
        <w:rPr>
          <w:b/>
          <w:bCs/>
          <w:sz w:val="24"/>
          <w:szCs w:val="24"/>
        </w:rPr>
        <w:t>skill does not mean employment</w:t>
      </w:r>
      <w:r>
        <w:rPr>
          <w:sz w:val="24"/>
          <w:szCs w:val="24"/>
        </w:rPr>
        <w:t>.</w:t>
      </w:r>
    </w:p>
    <w:p>
      <w:pPr>
        <w:pStyle w:val="Style8"/>
        <w:spacing w:lineRule="auto" w:line="420" w:before="0" w:after="120"/>
        <w:rPr/>
      </w:pPr>
      <w:r>
        <w:rPr>
          <w:b/>
          <w:bCs/>
          <w:sz w:val="24"/>
          <w:szCs w:val="24"/>
        </w:rPr>
        <w:t>Employment does not mean retention</w:t>
      </w:r>
      <w:r>
        <w:rPr>
          <w:sz w:val="24"/>
          <w:szCs w:val="24"/>
        </w:rPr>
        <w:t>.</w:t>
      </w:r>
    </w:p>
    <w:p>
      <w:pPr>
        <w:pStyle w:val="Normal"/>
        <w:rPr/>
      </w:pPr>
      <w:bookmarkStart w:id="11" w:name="b60d8c06-7036-41d3-b118-53190003743b"/>
      <w:r>
        <w:rPr/>
        <mc:AlternateContent>
          <mc:Choice Requires="wps">
            <w:drawing>
              <wp:inline distT="0" distB="0" distL="0" distR="0">
                <wp:extent cx="5943600" cy="19050"/>
                <wp:effectExtent l="0" t="0" r="0" b="0"/>
                <wp:docPr id="6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5" name=""/>
                        <wps:cNvSpPr/>
                      </wps:nvSpPr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</mc:AlternateContent>
      </w:r>
      <w:bookmarkEnd w:id="11"/>
    </w:p>
    <w:p>
      <w:pPr>
        <w:pStyle w:val="3"/>
        <w:rPr/>
      </w:pPr>
      <w:bookmarkStart w:id="12" w:name="X1b0b6bfdfa11d604bd8ec0e1c439004d4791ae7"/>
      <w:r>
        <w:rPr>
          <w:b/>
          <w:bCs/>
          <w:sz w:val="30"/>
          <w:szCs w:val="30"/>
        </w:rPr>
        <w:t>Slide 6 – Shanghai Model</w:t>
      </w:r>
    </w:p>
    <w:p>
      <w:pPr>
        <w:pStyle w:val="FirstParagraph"/>
        <w:spacing w:lineRule="auto" w:line="420" w:before="0" w:after="120"/>
        <w:rPr/>
      </w:pPr>
      <w:r>
        <w:rPr>
          <w:sz w:val="24"/>
          <w:szCs w:val="24"/>
        </w:rPr>
        <w:t>The Shanghai model is mainly </w:t>
      </w:r>
      <w:r>
        <w:rPr>
          <w:b/>
          <w:bCs/>
          <w:sz w:val="24"/>
          <w:szCs w:val="24"/>
        </w:rPr>
        <w:t>school-led</w:t>
      </w:r>
      <w:r>
        <w:rPr>
          <w:sz w:val="24"/>
          <w:szCs w:val="24"/>
        </w:rPr>
        <w:t>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The path is:</w:t>
      </w:r>
    </w:p>
    <w:p>
      <w:pPr>
        <w:pStyle w:val="Style8"/>
        <w:spacing w:lineRule="auto" w:line="420" w:before="0" w:after="120"/>
        <w:rPr/>
      </w:pPr>
      <w:r>
        <w:rPr>
          <w:b/>
          <w:bCs/>
          <w:sz w:val="24"/>
          <w:szCs w:val="24"/>
        </w:rPr>
        <w:t>policy, school, curriculum, internship, and employment.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It is a district-based system.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It uses Individualized Education Plans.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Schools play a very important role in transition.</w:t>
      </w:r>
    </w:p>
    <w:p>
      <w:pPr>
        <w:pStyle w:val="Normal"/>
        <w:rPr/>
      </w:pPr>
      <w:bookmarkStart w:id="13" w:name="X1b0b6bfdfa11d604bd8ec0e1c439004d4791ae7"/>
      <w:r>
        <w:rPr/>
        <mc:AlternateContent>
          <mc:Choice Requires="wps">
            <w:drawing>
              <wp:inline distT="0" distB="0" distL="0" distR="0">
                <wp:extent cx="5943600" cy="19050"/>
                <wp:effectExtent l="0" t="0" r="0" b="0"/>
                <wp:docPr id="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6" name=""/>
                        <wps:cNvSpPr/>
                      </wps:nvSpPr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</mc:AlternateContent>
      </w:r>
      <w:bookmarkEnd w:id="13"/>
    </w:p>
    <w:p>
      <w:pPr>
        <w:pStyle w:val="3"/>
        <w:rPr/>
      </w:pPr>
      <w:bookmarkStart w:id="14" w:name="c27d5aa3-9afb-4c1f-acea-d780700aa675"/>
      <w:r>
        <w:rPr>
          <w:b/>
          <w:bCs/>
          <w:sz w:val="30"/>
          <w:szCs w:val="30"/>
        </w:rPr>
        <w:t>Slide 7 – Shanghai Policy Framework</w:t>
      </w:r>
    </w:p>
    <w:p>
      <w:pPr>
        <w:pStyle w:val="FirstParagraph"/>
        <w:spacing w:lineRule="auto" w:line="420" w:before="0" w:after="120"/>
        <w:rPr/>
      </w:pPr>
      <w:r>
        <w:rPr>
          <w:sz w:val="24"/>
          <w:szCs w:val="24"/>
        </w:rPr>
        <w:t>Shanghai has district-level special vocational programs.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It also has a municipal curriculum plan.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Students have Individualized Education Plans.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They must complete internship training.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They also receive career transition services.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So, the system is organized by schools and local education support.</w:t>
      </w:r>
    </w:p>
    <w:p>
      <w:pPr>
        <w:pStyle w:val="Normal"/>
        <w:rPr/>
      </w:pPr>
      <w:bookmarkStart w:id="15" w:name="c27d5aa3-9afb-4c1f-acea-d780700aa675"/>
      <w:r>
        <w:rPr/>
        <mc:AlternateContent>
          <mc:Choice Requires="wps">
            <w:drawing>
              <wp:inline distT="0" distB="0" distL="0" distR="0">
                <wp:extent cx="5943600" cy="19050"/>
                <wp:effectExtent l="0" t="0" r="0" b="0"/>
                <wp:docPr id="8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7" name=""/>
                        <wps:cNvSpPr/>
                      </wps:nvSpPr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</mc:AlternateContent>
      </w:r>
      <w:bookmarkEnd w:id="15"/>
    </w:p>
    <w:p>
      <w:pPr>
        <w:pStyle w:val="3"/>
        <w:rPr/>
      </w:pPr>
      <w:bookmarkStart w:id="16" w:name="e7524bc2-3aaf-4671-bf9c-aa3973c4c195"/>
      <w:r>
        <w:rPr>
          <w:b/>
          <w:bCs/>
          <w:sz w:val="30"/>
          <w:szCs w:val="30"/>
        </w:rPr>
        <w:t>Slide 8 – Fengxian Secondary Vocational School</w:t>
      </w:r>
    </w:p>
    <w:p>
      <w:pPr>
        <w:pStyle w:val="FirstParagraph"/>
        <w:spacing w:lineRule="auto" w:line="420" w:before="0" w:after="120"/>
        <w:rPr/>
      </w:pPr>
      <w:r>
        <w:rPr>
          <w:sz w:val="24"/>
          <w:szCs w:val="24"/>
        </w:rPr>
        <w:t>In Fengxian, there is a four-year vocational model.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The core program is </w:t>
      </w:r>
      <w:r>
        <w:rPr>
          <w:b/>
          <w:bCs/>
          <w:sz w:val="24"/>
          <w:szCs w:val="24"/>
        </w:rPr>
        <w:t>Chinese cuisine cooking and nutrition</w:t>
      </w:r>
      <w:r>
        <w:rPr>
          <w:sz w:val="24"/>
          <w:szCs w:val="24"/>
        </w:rPr>
        <w:t>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There are also supporting areas.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For example: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pastry, housekeeping, communication, and cleaning.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These areas help students build basic work skills.</w:t>
      </w:r>
    </w:p>
    <w:p>
      <w:pPr>
        <w:pStyle w:val="Normal"/>
        <w:rPr/>
      </w:pPr>
      <w:bookmarkStart w:id="17" w:name="e7524bc2-3aaf-4671-bf9c-aa3973c4c195"/>
      <w:r>
        <w:rPr/>
        <mc:AlternateContent>
          <mc:Choice Requires="wps">
            <w:drawing>
              <wp:inline distT="0" distB="0" distL="0" distR="0">
                <wp:extent cx="5943600" cy="19050"/>
                <wp:effectExtent l="0" t="0" r="0" b="0"/>
                <wp:docPr id="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8" name=""/>
                        <wps:cNvSpPr/>
                      </wps:nvSpPr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</mc:AlternateContent>
      </w:r>
      <w:bookmarkEnd w:id="17"/>
    </w:p>
    <w:p>
      <w:pPr>
        <w:pStyle w:val="3"/>
        <w:rPr/>
      </w:pPr>
      <w:bookmarkStart w:id="18" w:name="X8cf09e64d584c2f41573634aa5aba2948022e39"/>
      <w:r>
        <w:rPr>
          <w:b/>
          <w:bCs/>
          <w:sz w:val="30"/>
          <w:szCs w:val="30"/>
        </w:rPr>
        <w:t>Slide 9 – Fengxian Training Structure</w:t>
      </w:r>
    </w:p>
    <w:p>
      <w:pPr>
        <w:pStyle w:val="FirstParagraph"/>
        <w:spacing w:lineRule="auto" w:line="420" w:before="0" w:after="120"/>
        <w:rPr/>
      </w:pPr>
      <w:r>
        <w:rPr>
          <w:sz w:val="24"/>
          <w:szCs w:val="24"/>
        </w:rPr>
        <w:t>The training has three levels.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First, </w:t>
      </w:r>
      <w:r>
        <w:rPr>
          <w:b/>
          <w:bCs/>
          <w:sz w:val="24"/>
          <w:szCs w:val="24"/>
        </w:rPr>
        <w:t>on-campus skills</w:t>
      </w:r>
      <w:r>
        <w:rPr>
          <w:sz w:val="24"/>
          <w:szCs w:val="24"/>
        </w:rPr>
        <w:t>, such as cooking, pastry, and catering.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Second, </w:t>
      </w:r>
      <w:r>
        <w:rPr>
          <w:b/>
          <w:bCs/>
          <w:sz w:val="24"/>
          <w:szCs w:val="24"/>
        </w:rPr>
        <w:t>job cognition</w:t>
      </w:r>
      <w:r>
        <w:rPr>
          <w:sz w:val="24"/>
          <w:szCs w:val="24"/>
        </w:rPr>
        <w:t>, such as coffee work, customer service, and cleaning.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Third, </w:t>
      </w:r>
      <w:r>
        <w:rPr>
          <w:b/>
          <w:bCs/>
          <w:sz w:val="24"/>
          <w:szCs w:val="24"/>
        </w:rPr>
        <w:t>supplementary training</w:t>
      </w:r>
      <w:r>
        <w:rPr>
          <w:sz w:val="24"/>
          <w:szCs w:val="24"/>
        </w:rPr>
        <w:t>, such as housekeeping, nutrition, and communication.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This structure helps students move from simple tasks to real work tasks.</w:t>
      </w:r>
    </w:p>
    <w:p>
      <w:pPr>
        <w:pStyle w:val="Normal"/>
        <w:rPr/>
      </w:pPr>
      <w:bookmarkStart w:id="19" w:name="X8cf09e64d584c2f41573634aa5aba2948022e39"/>
      <w:r>
        <w:rPr/>
        <mc:AlternateContent>
          <mc:Choice Requires="wps">
            <w:drawing>
              <wp:inline distT="0" distB="0" distL="0" distR="0">
                <wp:extent cx="5943600" cy="19050"/>
                <wp:effectExtent l="0" t="0" r="0" b="0"/>
                <wp:docPr id="10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9" name=""/>
                        <wps:cNvSpPr/>
                      </wps:nvSpPr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</mc:AlternateContent>
      </w:r>
      <w:bookmarkEnd w:id="19"/>
    </w:p>
    <w:p>
      <w:pPr>
        <w:pStyle w:val="3"/>
        <w:rPr/>
      </w:pPr>
      <w:bookmarkStart w:id="20" w:name="a325298e-5895-4d3f-956d-83c9b7c82738"/>
      <w:r>
        <w:rPr>
          <w:b/>
          <w:bCs/>
          <w:sz w:val="30"/>
          <w:szCs w:val="30"/>
        </w:rPr>
        <w:t>Slide 10 – Xinyuan Xiaoshe</w:t>
      </w:r>
    </w:p>
    <w:p>
      <w:pPr>
        <w:pStyle w:val="FirstParagraph"/>
        <w:spacing w:lineRule="auto" w:line="420" w:before="0" w:after="120"/>
        <w:rPr/>
      </w:pPr>
      <w:r>
        <w:rPr>
          <w:sz w:val="24"/>
          <w:szCs w:val="24"/>
        </w:rPr>
        <w:t>Xinyuan Xiaoshe is a school-based workplace simulation.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Students practice coffee preparation.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They practice customer service.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They practice cleaning.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They also practice money handling and social interaction.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The key idea is:</w:t>
      </w:r>
    </w:p>
    <w:p>
      <w:pPr>
        <w:pStyle w:val="Style8"/>
        <w:spacing w:lineRule="auto" w:line="420" w:before="0" w:after="120"/>
        <w:rPr/>
      </w:pPr>
      <w:r>
        <w:rPr>
          <w:b/>
          <w:bCs/>
          <w:sz w:val="24"/>
          <w:szCs w:val="24"/>
        </w:rPr>
        <w:t>real tasks in a safe environment.</w:t>
      </w:r>
    </w:p>
    <w:p>
      <w:pPr>
        <w:pStyle w:val="Normal"/>
        <w:rPr/>
      </w:pPr>
      <w:bookmarkStart w:id="21" w:name="a325298e-5895-4d3f-956d-83c9b7c82738"/>
      <w:r>
        <w:rPr/>
        <mc:AlternateContent>
          <mc:Choice Requires="wps">
            <w:drawing>
              <wp:inline distT="0" distB="0" distL="0" distR="0">
                <wp:extent cx="5943600" cy="19050"/>
                <wp:effectExtent l="0" t="0" r="0" b="0"/>
                <wp:docPr id="1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0" name=""/>
                        <wps:cNvSpPr/>
                      </wps:nvSpPr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</mc:AlternateContent>
      </w:r>
      <w:bookmarkEnd w:id="21"/>
    </w:p>
    <w:p>
      <w:pPr>
        <w:pStyle w:val="3"/>
        <w:rPr/>
      </w:pPr>
      <w:bookmarkStart w:id="22" w:name="a3d0c012-830a-4060-a33c-df2d3726312a"/>
      <w:r>
        <w:rPr>
          <w:b/>
          <w:bCs/>
          <w:sz w:val="30"/>
          <w:szCs w:val="30"/>
        </w:rPr>
        <w:t>Slide 11 – Off-Campus Job Shadowing</w:t>
      </w:r>
    </w:p>
    <w:p>
      <w:pPr>
        <w:pStyle w:val="FirstParagraph"/>
        <w:spacing w:lineRule="auto" w:line="420" w:before="0" w:after="120"/>
        <w:rPr/>
      </w:pPr>
      <w:r>
        <w:rPr>
          <w:sz w:val="24"/>
          <w:szCs w:val="24"/>
        </w:rPr>
        <w:t>Students also go outside the school.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They try different job places.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For example: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agriculture, car washing, charity supermarket, coffee shop, pet services, baking, and handicrafts.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These activities help students understand real workplaces.</w:t>
      </w:r>
    </w:p>
    <w:p>
      <w:pPr>
        <w:pStyle w:val="Normal"/>
        <w:rPr/>
      </w:pPr>
      <w:bookmarkStart w:id="23" w:name="a3d0c012-830a-4060-a33c-df2d3726312a"/>
      <w:r>
        <w:rPr/>
        <mc:AlternateContent>
          <mc:Choice Requires="wps">
            <w:drawing>
              <wp:inline distT="0" distB="0" distL="0" distR="0">
                <wp:extent cx="5943600" cy="19050"/>
                <wp:effectExtent l="0" t="0" r="0" b="0"/>
                <wp:docPr id="1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1" name=""/>
                        <wps:cNvSpPr/>
                      </wps:nvSpPr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</mc:AlternateContent>
      </w:r>
      <w:bookmarkEnd w:id="23"/>
    </w:p>
    <w:p>
      <w:pPr>
        <w:pStyle w:val="3"/>
        <w:rPr/>
      </w:pPr>
      <w:bookmarkStart w:id="24" w:name="Xf713d5c2a6f2e9f6485330fad180ffe876c3999"/>
      <w:r>
        <w:rPr>
          <w:b/>
          <w:bCs/>
          <w:sz w:val="30"/>
          <w:szCs w:val="30"/>
        </w:rPr>
        <w:t>Slide 12 – Shanghai Internship Challenge</w:t>
      </w:r>
    </w:p>
    <w:p>
      <w:pPr>
        <w:pStyle w:val="FirstParagraph"/>
        <w:spacing w:lineRule="auto" w:line="420" w:before="0" w:after="120"/>
        <w:rPr/>
      </w:pPr>
      <w:r>
        <w:rPr>
          <w:sz w:val="24"/>
          <w:szCs w:val="24"/>
        </w:rPr>
        <w:t>But there are still challenges.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More internship sites do not always mean better transition.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Some enterprises have limited capacity.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Some job tasks are too simple.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Some jobs have low social interaction.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Some jobs do not match the student’s disability type.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Long-term placements are also limited.</w:t>
      </w:r>
    </w:p>
    <w:p>
      <w:pPr>
        <w:pStyle w:val="Normal"/>
        <w:rPr/>
      </w:pPr>
      <w:bookmarkStart w:id="25" w:name="Xf713d5c2a6f2e9f6485330fad180ffe876c3999"/>
      <w:r>
        <w:rPr/>
        <mc:AlternateContent>
          <mc:Choice Requires="wps">
            <w:drawing>
              <wp:inline distT="0" distB="0" distL="0" distR="0">
                <wp:extent cx="5943600" cy="19050"/>
                <wp:effectExtent l="0" t="0" r="0" b="0"/>
                <wp:docPr id="1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2" name=""/>
                        <wps:cNvSpPr/>
                      </wps:nvSpPr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</mc:AlternateContent>
      </w:r>
      <w:bookmarkEnd w:id="25"/>
    </w:p>
    <w:p>
      <w:pPr>
        <w:pStyle w:val="3"/>
        <w:rPr/>
      </w:pPr>
      <w:bookmarkStart w:id="26" w:name="X134e3ab8a5bb89ddc341a38ca63011dfbedda7f"/>
      <w:r>
        <w:rPr>
          <w:b/>
          <w:bCs/>
          <w:sz w:val="30"/>
          <w:szCs w:val="30"/>
        </w:rPr>
        <w:t>Slide 13 – Shanghai Employment Transition</w:t>
      </w:r>
    </w:p>
    <w:p>
      <w:pPr>
        <w:pStyle w:val="FirstParagraph"/>
        <w:spacing w:lineRule="auto" w:line="420" w:before="0" w:after="120"/>
        <w:rPr/>
      </w:pPr>
      <w:r>
        <w:rPr>
          <w:sz w:val="24"/>
          <w:szCs w:val="24"/>
        </w:rPr>
        <w:t>So, the current pattern in Shanghai looks like this:</w:t>
      </w:r>
    </w:p>
    <w:p>
      <w:pPr>
        <w:pStyle w:val="Style8"/>
        <w:spacing w:lineRule="auto" w:line="420" w:before="0" w:after="120"/>
        <w:rPr/>
      </w:pPr>
      <w:r>
        <w:rPr>
          <w:b/>
          <w:bCs/>
          <w:sz w:val="24"/>
          <w:szCs w:val="24"/>
        </w:rPr>
        <w:t>School training</w:t>
      </w:r>
      <w:r>
        <w:rPr>
          <w:sz w:val="24"/>
          <w:szCs w:val="24"/>
        </w:rPr>
        <w:t>, then </w:t>
      </w:r>
      <w:r>
        <w:rPr>
          <w:b/>
          <w:bCs/>
          <w:sz w:val="24"/>
          <w:szCs w:val="24"/>
        </w:rPr>
        <w:t>job cognition</w:t>
      </w:r>
      <w:r>
        <w:rPr>
          <w:sz w:val="24"/>
          <w:szCs w:val="24"/>
        </w:rPr>
        <w:t>, then </w:t>
      </w:r>
      <w:r>
        <w:rPr>
          <w:b/>
          <w:bCs/>
          <w:sz w:val="24"/>
          <w:szCs w:val="24"/>
        </w:rPr>
        <w:t>short-term internship</w:t>
      </w:r>
      <w:r>
        <w:rPr>
          <w:sz w:val="24"/>
          <w:szCs w:val="24"/>
        </w:rPr>
        <w:t>, and then </w:t>
      </w:r>
      <w:r>
        <w:rPr>
          <w:b/>
          <w:bCs/>
          <w:sz w:val="24"/>
          <w:szCs w:val="24"/>
        </w:rPr>
        <w:t>limited open employment</w:t>
      </w:r>
      <w:r>
        <w:rPr>
          <w:sz w:val="24"/>
          <w:szCs w:val="24"/>
        </w:rPr>
        <w:t>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Students can learn many skills.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But moving into stable open employment is still difficult.</w:t>
      </w:r>
    </w:p>
    <w:p>
      <w:pPr>
        <w:pStyle w:val="Normal"/>
        <w:rPr/>
      </w:pPr>
      <w:bookmarkStart w:id="27" w:name="X134e3ab8a5bb89ddc341a38ca63011dfbedda7f"/>
      <w:r>
        <w:rPr/>
        <mc:AlternateContent>
          <mc:Choice Requires="wps">
            <w:drawing>
              <wp:inline distT="0" distB="0" distL="0" distR="0">
                <wp:extent cx="5943600" cy="19050"/>
                <wp:effectExtent l="0" t="0" r="0" b="0"/>
                <wp:docPr id="14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3" name=""/>
                        <wps:cNvSpPr/>
                      </wps:nvSpPr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</mc:AlternateContent>
      </w:r>
      <w:bookmarkEnd w:id="27"/>
    </w:p>
    <w:p>
      <w:pPr>
        <w:pStyle w:val="3"/>
        <w:rPr/>
      </w:pPr>
      <w:bookmarkStart w:id="28" w:name="X979752c508058590f2caadf639b392a2d8b2fc6"/>
      <w:r>
        <w:rPr>
          <w:b/>
          <w:bCs/>
          <w:sz w:val="30"/>
          <w:szCs w:val="30"/>
        </w:rPr>
        <w:t>Slide 14 – Kuala Lumpur Model</w:t>
      </w:r>
    </w:p>
    <w:p>
      <w:pPr>
        <w:pStyle w:val="FirstParagraph"/>
        <w:spacing w:lineRule="auto" w:line="420" w:before="0" w:after="120"/>
        <w:rPr/>
      </w:pPr>
      <w:r>
        <w:rPr>
          <w:sz w:val="24"/>
          <w:szCs w:val="24"/>
        </w:rPr>
        <w:t>The Kuala Lumpur model is different.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It is a </w:t>
      </w:r>
      <w:r>
        <w:rPr>
          <w:b/>
          <w:bCs/>
          <w:sz w:val="24"/>
          <w:szCs w:val="24"/>
        </w:rPr>
        <w:t>multi-sector supported employment model</w:t>
      </w:r>
      <w:r>
        <w:rPr>
          <w:sz w:val="24"/>
          <w:szCs w:val="24"/>
        </w:rPr>
        <w:t>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It includes education, welfare, NGOs, and enterprises.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The main parts are: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SMPKV, JKM Job Coach, sheltered workshops, NGO vocational preparation, and corporate programs.</w:t>
      </w:r>
    </w:p>
    <w:p>
      <w:pPr>
        <w:pStyle w:val="Normal"/>
        <w:rPr/>
      </w:pPr>
      <w:bookmarkStart w:id="29" w:name="X979752c508058590f2caadf639b392a2d8b2fc6"/>
      <w:r>
        <w:rPr/>
        <mc:AlternateContent>
          <mc:Choice Requires="wps">
            <w:drawing>
              <wp:inline distT="0" distB="0" distL="0" distR="0">
                <wp:extent cx="5943600" cy="19050"/>
                <wp:effectExtent l="0" t="0" r="0" b="0"/>
                <wp:docPr id="1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4" name=""/>
                        <wps:cNvSpPr/>
                      </wps:nvSpPr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</mc:AlternateContent>
      </w:r>
      <w:bookmarkEnd w:id="29"/>
    </w:p>
    <w:p>
      <w:pPr>
        <w:pStyle w:val="3"/>
        <w:rPr/>
      </w:pPr>
      <w:bookmarkStart w:id="30" w:name="Xbaee6956ca5148cfdd54e98f3eff324e2341c60"/>
      <w:r>
        <w:rPr>
          <w:b/>
          <w:bCs/>
          <w:sz w:val="30"/>
          <w:szCs w:val="30"/>
        </w:rPr>
        <w:t>Slide 15 – SMPKV</w:t>
      </w:r>
    </w:p>
    <w:p>
      <w:pPr>
        <w:pStyle w:val="FirstParagraph"/>
        <w:spacing w:lineRule="auto" w:line="420" w:before="0" w:after="120"/>
        <w:rPr/>
      </w:pPr>
      <w:r>
        <w:rPr>
          <w:sz w:val="24"/>
          <w:szCs w:val="24"/>
        </w:rPr>
        <w:t>SMPKV is a special vocational secondary school.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It offers skills certification and TVET pathways.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Students can learn many vocational trades.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They can receive SKM certification.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The training follows JPK standards.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After training, students may go to employment or further TVET study.</w:t>
      </w:r>
    </w:p>
    <w:p>
      <w:pPr>
        <w:pStyle w:val="Normal"/>
        <w:rPr/>
      </w:pPr>
      <w:bookmarkStart w:id="31" w:name="Xbaee6956ca5148cfdd54e98f3eff324e2341c60"/>
      <w:r>
        <w:rPr/>
        <mc:AlternateContent>
          <mc:Choice Requires="wps">
            <w:drawing>
              <wp:inline distT="0" distB="0" distL="0" distR="0">
                <wp:extent cx="5943600" cy="19050"/>
                <wp:effectExtent l="0" t="0" r="0" b="0"/>
                <wp:docPr id="16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5" name=""/>
                        <wps:cNvSpPr/>
                      </wps:nvSpPr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</mc:AlternateContent>
      </w:r>
      <w:bookmarkEnd w:id="31"/>
    </w:p>
    <w:p>
      <w:pPr>
        <w:pStyle w:val="3"/>
        <w:rPr/>
      </w:pPr>
      <w:bookmarkStart w:id="32" w:name="Xdb2e620688f90e34438aa28d3fbb0aaf51cb421"/>
      <w:r>
        <w:rPr>
          <w:b/>
          <w:bCs/>
          <w:sz w:val="30"/>
          <w:szCs w:val="30"/>
        </w:rPr>
        <w:t>Slide 16 – SMPKV Vocational Areas</w:t>
      </w:r>
    </w:p>
    <w:p>
      <w:pPr>
        <w:pStyle w:val="FirstParagraph"/>
        <w:spacing w:lineRule="auto" w:line="420" w:before="0" w:after="120"/>
        <w:rPr/>
      </w:pPr>
      <w:r>
        <w:rPr>
          <w:sz w:val="24"/>
          <w:szCs w:val="24"/>
        </w:rPr>
        <w:t>SMPKV has many vocational areas.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For example: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food preparation, hairdressing, garment making, electrical work, welding, construction, furniture, air-conditioning, batik, and desktop publishing.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This gives students more choices.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Different students can find different skill paths.</w:t>
      </w:r>
    </w:p>
    <w:p>
      <w:pPr>
        <w:pStyle w:val="Normal"/>
        <w:rPr/>
      </w:pPr>
      <w:bookmarkStart w:id="33" w:name="Xdb2e620688f90e34438aa28d3fbb0aaf51cb421"/>
      <w:r>
        <w:rPr/>
        <mc:AlternateContent>
          <mc:Choice Requires="wps">
            <w:drawing>
              <wp:inline distT="0" distB="0" distL="0" distR="0">
                <wp:extent cx="5943600" cy="19050"/>
                <wp:effectExtent l="0" t="0" r="0" b="0"/>
                <wp:docPr id="1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6" name=""/>
                        <wps:cNvSpPr/>
                      </wps:nvSpPr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</mc:AlternateContent>
      </w:r>
      <w:bookmarkEnd w:id="33"/>
    </w:p>
    <w:p>
      <w:pPr>
        <w:pStyle w:val="3"/>
        <w:rPr/>
      </w:pPr>
      <w:bookmarkStart w:id="34" w:name="X267d9e3bbf7cea9bf57b827a367f36905fa4895"/>
      <w:r>
        <w:rPr>
          <w:b/>
          <w:bCs/>
          <w:sz w:val="30"/>
          <w:szCs w:val="30"/>
        </w:rPr>
        <w:t>Slide 17 – Wisma Harapan</w:t>
      </w:r>
    </w:p>
    <w:p>
      <w:pPr>
        <w:pStyle w:val="FirstParagraph"/>
        <w:spacing w:lineRule="auto" w:line="420" w:before="0" w:after="120"/>
        <w:rPr/>
      </w:pPr>
      <w:r>
        <w:rPr>
          <w:sz w:val="24"/>
          <w:szCs w:val="24"/>
        </w:rPr>
        <w:t>Wisma Harapan focuses on vocational preparation for people with developmental disabilities.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It trains life skills, handicrafts, sewing, employment preparation, job placement, and behaviour management.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The focus is clear:</w:t>
      </w:r>
    </w:p>
    <w:p>
      <w:pPr>
        <w:pStyle w:val="Style8"/>
        <w:spacing w:lineRule="auto" w:line="420" w:before="0" w:after="120"/>
        <w:rPr/>
      </w:pPr>
      <w:r>
        <w:rPr>
          <w:b/>
          <w:bCs/>
          <w:sz w:val="24"/>
          <w:szCs w:val="24"/>
        </w:rPr>
        <w:t>preparation, placement, and transition.</w:t>
      </w:r>
    </w:p>
    <w:p>
      <w:pPr>
        <w:pStyle w:val="Normal"/>
        <w:rPr/>
      </w:pPr>
      <w:bookmarkStart w:id="35" w:name="X267d9e3bbf7cea9bf57b827a367f36905fa4895"/>
      <w:r>
        <w:rPr/>
        <mc:AlternateContent>
          <mc:Choice Requires="wps">
            <w:drawing>
              <wp:inline distT="0" distB="0" distL="0" distR="0">
                <wp:extent cx="5943600" cy="19050"/>
                <wp:effectExtent l="0" t="0" r="0" b="0"/>
                <wp:docPr id="18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7" name=""/>
                        <wps:cNvSpPr/>
                      </wps:nvSpPr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</mc:AlternateContent>
      </w:r>
      <w:bookmarkEnd w:id="35"/>
    </w:p>
    <w:p>
      <w:pPr>
        <w:pStyle w:val="3"/>
        <w:rPr/>
      </w:pPr>
      <w:bookmarkStart w:id="36" w:name="f3c49c7b-0a33-4cc0-939e-a620ffd5dd9f"/>
      <w:r>
        <w:rPr>
          <w:b/>
          <w:bCs/>
          <w:sz w:val="30"/>
          <w:szCs w:val="30"/>
        </w:rPr>
        <w:t>Slide 18 – Bengkel Daya</w:t>
      </w:r>
    </w:p>
    <w:p>
      <w:pPr>
        <w:pStyle w:val="FirstParagraph"/>
        <w:spacing w:lineRule="auto" w:line="420" w:before="0" w:after="120"/>
        <w:rPr/>
      </w:pPr>
      <w:r>
        <w:rPr>
          <w:sz w:val="24"/>
          <w:szCs w:val="24"/>
        </w:rPr>
        <w:t>Bengkel Daya is a sheltered employment center.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It has sewing, bakery, laundry, retail, and catering units.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It supports people who face barriers to open employment.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It works as a transitional workplace.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Students can build confidence and work habits there.</w:t>
      </w:r>
    </w:p>
    <w:p>
      <w:pPr>
        <w:pStyle w:val="Normal"/>
        <w:rPr/>
      </w:pPr>
      <w:bookmarkStart w:id="37" w:name="f3c49c7b-0a33-4cc0-939e-a620ffd5dd9f"/>
      <w:r>
        <w:rPr/>
        <mc:AlternateContent>
          <mc:Choice Requires="wps">
            <w:drawing>
              <wp:inline distT="0" distB="0" distL="0" distR="0">
                <wp:extent cx="5943600" cy="19050"/>
                <wp:effectExtent l="0" t="0" r="0" b="0"/>
                <wp:docPr id="1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8" name=""/>
                        <wps:cNvSpPr/>
                      </wps:nvSpPr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</mc:AlternateContent>
      </w:r>
      <w:bookmarkEnd w:id="37"/>
    </w:p>
    <w:p>
      <w:pPr>
        <w:pStyle w:val="3"/>
        <w:rPr/>
      </w:pPr>
      <w:bookmarkStart w:id="38" w:name="c1ff16b9-3891-4bce-adbc-81b8925d281b"/>
      <w:r>
        <w:rPr>
          <w:b/>
          <w:bCs/>
          <w:sz w:val="30"/>
          <w:szCs w:val="30"/>
        </w:rPr>
        <w:t>Slide 19 – PLPP</w:t>
      </w:r>
    </w:p>
    <w:p>
      <w:pPr>
        <w:pStyle w:val="FirstParagraph"/>
        <w:spacing w:lineRule="auto" w:line="420" w:before="0" w:after="120"/>
        <w:rPr/>
      </w:pPr>
      <w:r>
        <w:rPr>
          <w:sz w:val="24"/>
          <w:szCs w:val="24"/>
        </w:rPr>
        <w:t>PLPP provides skills training for people with physical disabilities.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For example: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office management, electrical installation, prosthetics and orthotics, wheelchair manufacturing, fine arts, and batik.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This shows that different disability groups need different training paths.</w:t>
      </w:r>
    </w:p>
    <w:p>
      <w:pPr>
        <w:pStyle w:val="Normal"/>
        <w:rPr/>
      </w:pPr>
      <w:bookmarkStart w:id="39" w:name="c1ff16b9-3891-4bce-adbc-81b8925d281b"/>
      <w:r>
        <w:rPr/>
        <mc:AlternateContent>
          <mc:Choice Requires="wps">
            <w:drawing>
              <wp:inline distT="0" distB="0" distL="0" distR="0">
                <wp:extent cx="5943600" cy="19050"/>
                <wp:effectExtent l="0" t="0" r="0" b="0"/>
                <wp:docPr id="20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9" name=""/>
                        <wps:cNvSpPr/>
                      </wps:nvSpPr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</mc:AlternateContent>
      </w:r>
      <w:bookmarkEnd w:id="39"/>
    </w:p>
    <w:p>
      <w:pPr>
        <w:pStyle w:val="3"/>
        <w:rPr/>
      </w:pPr>
      <w:bookmarkStart w:id="40" w:name="b1bbb9c8-0482-4301-b6f9-c38240f5ad14"/>
      <w:r>
        <w:rPr>
          <w:b/>
          <w:bCs/>
          <w:sz w:val="30"/>
          <w:szCs w:val="30"/>
        </w:rPr>
        <w:t>Slide 20 – JKM Job Coach</w:t>
      </w:r>
    </w:p>
    <w:p>
      <w:pPr>
        <w:pStyle w:val="FirstParagraph"/>
        <w:spacing w:lineRule="auto" w:line="420" w:before="0" w:after="120"/>
        <w:rPr/>
      </w:pPr>
      <w:r>
        <w:rPr>
          <w:sz w:val="24"/>
          <w:szCs w:val="24"/>
        </w:rPr>
        <w:t>JKM Job Coach is very important.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It gives continuous employment support.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The six steps are:</w:t>
      </w:r>
    </w:p>
    <w:p>
      <w:pPr>
        <w:pStyle w:val="Style8"/>
        <w:spacing w:lineRule="auto" w:line="420" w:before="0" w:after="120"/>
        <w:rPr/>
      </w:pPr>
      <w:r>
        <w:rPr>
          <w:b/>
          <w:bCs/>
          <w:sz w:val="24"/>
          <w:szCs w:val="24"/>
        </w:rPr>
        <w:t>assessment, workplace assessment, job matching, intensive support, natural support, and follow-up.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This model helps workers stay in the job.</w:t>
      </w:r>
    </w:p>
    <w:p>
      <w:pPr>
        <w:pStyle w:val="Normal"/>
        <w:rPr/>
      </w:pPr>
      <w:bookmarkStart w:id="41" w:name="b1bbb9c8-0482-4301-b6f9-c38240f5ad14"/>
      <w:r>
        <w:rPr/>
        <mc:AlternateContent>
          <mc:Choice Requires="wps">
            <w:drawing>
              <wp:inline distT="0" distB="0" distL="0" distR="0">
                <wp:extent cx="5943600" cy="19050"/>
                <wp:effectExtent l="0" t="0" r="0" b="0"/>
                <wp:docPr id="2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0" name=""/>
                        <wps:cNvSpPr/>
                      </wps:nvSpPr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</mc:AlternateContent>
      </w:r>
      <w:bookmarkEnd w:id="41"/>
    </w:p>
    <w:p>
      <w:pPr>
        <w:pStyle w:val="3"/>
        <w:rPr/>
      </w:pPr>
      <w:bookmarkStart w:id="42" w:name="X8c34fa9eff735249bdc3b4258d9bc6a4eb5cc10"/>
      <w:r>
        <w:rPr>
          <w:b/>
          <w:bCs/>
          <w:sz w:val="30"/>
          <w:szCs w:val="30"/>
        </w:rPr>
        <w:t>Slide 21 – What Does a Job Coach Do?</w:t>
      </w:r>
    </w:p>
    <w:p>
      <w:pPr>
        <w:pStyle w:val="FirstParagraph"/>
        <w:spacing w:lineRule="auto" w:line="420" w:before="0" w:after="120"/>
        <w:rPr/>
      </w:pPr>
      <w:r>
        <w:rPr>
          <w:sz w:val="24"/>
          <w:szCs w:val="24"/>
        </w:rPr>
        <w:t>A job coach works in the real workplace.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The job coach analyses job tasks.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The job coach adapts instructions.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The job coach trains supervisors.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The job coach supports coworkers.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The job coach also helps improve workplace accessibility.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Over time, direct support is reduced.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The goal is natural support in the workplace.</w:t>
      </w:r>
    </w:p>
    <w:p>
      <w:pPr>
        <w:pStyle w:val="Normal"/>
        <w:rPr/>
      </w:pPr>
      <w:bookmarkStart w:id="43" w:name="X8c34fa9eff735249bdc3b4258d9bc6a4eb5cc10"/>
      <w:r>
        <w:rPr/>
        <mc:AlternateContent>
          <mc:Choice Requires="wps">
            <w:drawing>
              <wp:inline distT="0" distB="0" distL="0" distR="0">
                <wp:extent cx="5943600" cy="19050"/>
                <wp:effectExtent l="0" t="0" r="0" b="0"/>
                <wp:docPr id="2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1" name=""/>
                        <wps:cNvSpPr/>
                      </wps:nvSpPr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</mc:AlternateContent>
      </w:r>
      <w:bookmarkEnd w:id="43"/>
    </w:p>
    <w:p>
      <w:pPr>
        <w:pStyle w:val="3"/>
        <w:rPr/>
      </w:pPr>
      <w:bookmarkStart w:id="44" w:name="e4e6f4d3-5b4f-401e-997b-b6bd67f3ea20"/>
      <w:r>
        <w:rPr>
          <w:b/>
          <w:bCs/>
          <w:sz w:val="30"/>
          <w:szCs w:val="30"/>
        </w:rPr>
        <w:t>Slide 22 – Corporate Supported Employment</w:t>
      </w:r>
    </w:p>
    <w:p>
      <w:pPr>
        <w:pStyle w:val="FirstParagraph"/>
        <w:spacing w:lineRule="auto" w:line="420" w:before="0" w:after="120"/>
        <w:rPr/>
      </w:pPr>
      <w:r>
        <w:rPr>
          <w:sz w:val="24"/>
          <w:szCs w:val="24"/>
        </w:rPr>
        <w:t>Kuala Lumpur also has corporate supported employment.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Students can move from training to real jobs.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For example: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corporate academies, shopping malls, supermarkets, and enterprise partnerships.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The key elements are:</w:t>
      </w:r>
    </w:p>
    <w:p>
      <w:pPr>
        <w:pStyle w:val="Style8"/>
        <w:spacing w:lineRule="auto" w:line="420" w:before="0" w:after="120"/>
        <w:rPr/>
      </w:pPr>
      <w:r>
        <w:rPr>
          <w:b/>
          <w:bCs/>
          <w:sz w:val="24"/>
          <w:szCs w:val="24"/>
        </w:rPr>
        <w:t>training, matching, workplace support, and follow-up.</w:t>
      </w:r>
    </w:p>
    <w:p>
      <w:pPr>
        <w:pStyle w:val="Normal"/>
        <w:rPr/>
      </w:pPr>
      <w:bookmarkStart w:id="45" w:name="e4e6f4d3-5b4f-401e-997b-b6bd67f3ea20"/>
      <w:r>
        <w:rPr/>
        <mc:AlternateContent>
          <mc:Choice Requires="wps">
            <w:drawing>
              <wp:inline distT="0" distB="0" distL="0" distR="0">
                <wp:extent cx="5943600" cy="19050"/>
                <wp:effectExtent l="0" t="0" r="0" b="0"/>
                <wp:docPr id="2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2" name=""/>
                        <wps:cNvSpPr/>
                      </wps:nvSpPr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</mc:AlternateContent>
      </w:r>
      <w:bookmarkEnd w:id="45"/>
    </w:p>
    <w:p>
      <w:pPr>
        <w:pStyle w:val="3"/>
        <w:rPr/>
      </w:pPr>
      <w:bookmarkStart w:id="46" w:name="X2678d921be6031649117aa52b881991e316ed64"/>
      <w:r>
        <w:rPr>
          <w:b/>
          <w:bCs/>
          <w:sz w:val="30"/>
          <w:szCs w:val="30"/>
        </w:rPr>
        <w:t>Slide 23 – Shanghai vs. Kuala Lumpur</w:t>
      </w:r>
    </w:p>
    <w:p>
      <w:pPr>
        <w:pStyle w:val="FirstParagraph"/>
        <w:spacing w:lineRule="auto" w:line="420" w:before="0" w:after="120"/>
        <w:rPr/>
      </w:pPr>
      <w:r>
        <w:rPr>
          <w:sz w:val="24"/>
          <w:szCs w:val="24"/>
        </w:rPr>
        <w:t>Shanghai and Kuala Lumpur have different system logics.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Shanghai is more </w:t>
      </w:r>
      <w:r>
        <w:rPr>
          <w:b/>
          <w:bCs/>
          <w:sz w:val="24"/>
          <w:szCs w:val="24"/>
        </w:rPr>
        <w:t>school-led</w:t>
      </w:r>
      <w:r>
        <w:rPr>
          <w:sz w:val="24"/>
          <w:szCs w:val="24"/>
        </w:rPr>
        <w:t>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Kuala Lumpur is more </w:t>
      </w:r>
      <w:r>
        <w:rPr>
          <w:b/>
          <w:bCs/>
          <w:sz w:val="24"/>
          <w:szCs w:val="24"/>
        </w:rPr>
        <w:t>multi-sector</w:t>
      </w:r>
      <w:r>
        <w:rPr>
          <w:sz w:val="24"/>
          <w:szCs w:val="24"/>
        </w:rPr>
        <w:t>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Shanghai is IEP-centered.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Kuala Lumpur uses certification and employment support.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Shanghai has a four-year curriculum.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Kuala Lumpur has multiple vocational trades.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Shanghai relies more on teacher-led support.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Kuala Lumpur uses professional job coach support.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Shanghai has limited external tracking.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Kuala Lumpur has more specialized employment support.</w:t>
      </w:r>
    </w:p>
    <w:p>
      <w:pPr>
        <w:pStyle w:val="Normal"/>
        <w:rPr/>
      </w:pPr>
      <w:bookmarkStart w:id="47" w:name="X2678d921be6031649117aa52b881991e316ed64"/>
      <w:r>
        <w:rPr/>
        <mc:AlternateContent>
          <mc:Choice Requires="wps">
            <w:drawing>
              <wp:inline distT="0" distB="0" distL="0" distR="0">
                <wp:extent cx="5943600" cy="19050"/>
                <wp:effectExtent l="0" t="0" r="0" b="0"/>
                <wp:docPr id="24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3" name=""/>
                        <wps:cNvSpPr/>
                      </wps:nvSpPr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</mc:AlternateContent>
      </w:r>
      <w:bookmarkEnd w:id="47"/>
    </w:p>
    <w:p>
      <w:pPr>
        <w:pStyle w:val="3"/>
        <w:rPr/>
      </w:pPr>
      <w:bookmarkStart w:id="48" w:name="bc2633d7-dfe9-4b7a-a70d-e4f64aaafc04"/>
      <w:r>
        <w:rPr>
          <w:b/>
          <w:bCs/>
          <w:sz w:val="30"/>
          <w:szCs w:val="30"/>
        </w:rPr>
        <w:t>Slide 24 – Curriculum &amp; Certification</w:t>
      </w:r>
    </w:p>
    <w:p>
      <w:pPr>
        <w:pStyle w:val="FirstParagraph"/>
        <w:spacing w:lineRule="auto" w:line="420" w:before="0" w:after="120"/>
        <w:rPr/>
      </w:pPr>
      <w:r>
        <w:rPr>
          <w:sz w:val="24"/>
          <w:szCs w:val="24"/>
        </w:rPr>
        <w:t>Shanghai is more school-based.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The path is:</w:t>
      </w:r>
    </w:p>
    <w:p>
      <w:pPr>
        <w:pStyle w:val="Style8"/>
        <w:spacing w:lineRule="auto" w:line="420" w:before="0" w:after="120"/>
        <w:rPr/>
      </w:pPr>
      <w:r>
        <w:rPr>
          <w:b/>
          <w:bCs/>
          <w:sz w:val="24"/>
          <w:szCs w:val="24"/>
        </w:rPr>
        <w:t>curriculum, vocational skills, and school internship.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Kuala Lumpur is more market-linked.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The path is:</w:t>
      </w:r>
    </w:p>
    <w:p>
      <w:pPr>
        <w:pStyle w:val="Style8"/>
        <w:spacing w:lineRule="auto" w:line="420" w:before="0" w:after="120"/>
        <w:rPr/>
      </w:pPr>
      <w:r>
        <w:rPr>
          <w:b/>
          <w:bCs/>
          <w:sz w:val="24"/>
          <w:szCs w:val="24"/>
        </w:rPr>
        <w:t>skills training, SKM or JPK certification, and employment or TVET.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So, Shanghai focuses on school education.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Kuala Lumpur focuses on certification and job pathways.</w:t>
      </w:r>
    </w:p>
    <w:p>
      <w:pPr>
        <w:pStyle w:val="Normal"/>
        <w:rPr/>
      </w:pPr>
      <w:bookmarkStart w:id="49" w:name="bc2633d7-dfe9-4b7a-a70d-e4f64aaafc04"/>
      <w:r>
        <w:rPr/>
        <mc:AlternateContent>
          <mc:Choice Requires="wps">
            <w:drawing>
              <wp:inline distT="0" distB="0" distL="0" distR="0">
                <wp:extent cx="5943600" cy="19050"/>
                <wp:effectExtent l="0" t="0" r="0" b="0"/>
                <wp:docPr id="2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4" name=""/>
                        <wps:cNvSpPr/>
                      </wps:nvSpPr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</mc:AlternateContent>
      </w:r>
      <w:bookmarkEnd w:id="49"/>
    </w:p>
    <w:p>
      <w:pPr>
        <w:pStyle w:val="3"/>
        <w:rPr/>
      </w:pPr>
      <w:bookmarkStart w:id="50" w:name="adc79bfe-1953-4fed-b568-7c31eb714d0f"/>
      <w:r>
        <w:rPr>
          <w:b/>
          <w:bCs/>
          <w:sz w:val="30"/>
          <w:szCs w:val="30"/>
        </w:rPr>
        <w:t>Slide 25 – Internship Comparison</w:t>
      </w:r>
    </w:p>
    <w:p>
      <w:pPr>
        <w:pStyle w:val="FirstParagraph"/>
        <w:spacing w:lineRule="auto" w:line="420" w:before="0" w:after="120"/>
        <w:rPr/>
      </w:pPr>
      <w:r>
        <w:rPr>
          <w:sz w:val="24"/>
          <w:szCs w:val="24"/>
        </w:rPr>
        <w:t>In Shanghai, internship sites are growing.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Teacher support is strong.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But enterprise capacity is limited.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Job complexity is also uneven.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In Kuala Lumpur, there is more job matching.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There is supported employment.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There are corporate placements.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There are also multi-sector pathways.</w:t>
      </w:r>
    </w:p>
    <w:p>
      <w:pPr>
        <w:pStyle w:val="Normal"/>
        <w:rPr/>
      </w:pPr>
      <w:bookmarkStart w:id="51" w:name="adc79bfe-1953-4fed-b568-7c31eb714d0f"/>
      <w:r>
        <w:rPr/>
        <mc:AlternateContent>
          <mc:Choice Requires="wps">
            <w:drawing>
              <wp:inline distT="0" distB="0" distL="0" distR="0">
                <wp:extent cx="5943600" cy="19050"/>
                <wp:effectExtent l="0" t="0" r="0" b="0"/>
                <wp:docPr id="26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5" name=""/>
                        <wps:cNvSpPr/>
                      </wps:nvSpPr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</mc:AlternateContent>
      </w:r>
      <w:bookmarkEnd w:id="51"/>
    </w:p>
    <w:p>
      <w:pPr>
        <w:pStyle w:val="3"/>
        <w:rPr/>
      </w:pPr>
      <w:bookmarkStart w:id="52" w:name="daaa3487-0b98-41d1-a7bd-325d49114f25"/>
      <w:r>
        <w:rPr>
          <w:b/>
          <w:bCs/>
          <w:sz w:val="30"/>
          <w:szCs w:val="30"/>
        </w:rPr>
        <w:t>Slide 26 – Job Coach Comparison</w:t>
      </w:r>
    </w:p>
    <w:p>
      <w:pPr>
        <w:pStyle w:val="FirstParagraph"/>
        <w:spacing w:lineRule="auto" w:line="420" w:before="0" w:after="120"/>
        <w:rPr/>
      </w:pPr>
      <w:r>
        <w:rPr>
          <w:sz w:val="24"/>
          <w:szCs w:val="24"/>
        </w:rPr>
        <w:t>Who supports the worker?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In Shanghai, support often comes from teachers, enterprise mentors, and families.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In Kuala Lumpur, support comes from professional job coaches, supervisors, coworkers, and employers.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The core difference is:</w:t>
      </w:r>
    </w:p>
    <w:p>
      <w:pPr>
        <w:pStyle w:val="Style8"/>
        <w:spacing w:lineRule="auto" w:line="420" w:before="0" w:after="120"/>
        <w:rPr/>
      </w:pPr>
      <w:r>
        <w:rPr>
          <w:b/>
          <w:bCs/>
          <w:sz w:val="24"/>
          <w:szCs w:val="24"/>
        </w:rPr>
        <w:t>internal educational support</w:t>
      </w:r>
      <w:r>
        <w:rPr>
          <w:sz w:val="24"/>
          <w:szCs w:val="24"/>
        </w:rPr>
        <w:t> and </w:t>
      </w:r>
      <w:r>
        <w:rPr>
          <w:b/>
          <w:bCs/>
          <w:sz w:val="24"/>
          <w:szCs w:val="24"/>
        </w:rPr>
        <w:t>external employment support</w:t>
      </w:r>
      <w:r>
        <w:rPr>
          <w:sz w:val="24"/>
          <w:szCs w:val="24"/>
        </w:rPr>
        <w:t>.</w:t>
      </w:r>
    </w:p>
    <w:p>
      <w:pPr>
        <w:pStyle w:val="Normal"/>
        <w:rPr/>
      </w:pPr>
      <w:bookmarkStart w:id="53" w:name="daaa3487-0b98-41d1-a7bd-325d49114f25"/>
      <w:r>
        <w:rPr/>
        <mc:AlternateContent>
          <mc:Choice Requires="wps">
            <w:drawing>
              <wp:inline distT="0" distB="0" distL="0" distR="0">
                <wp:extent cx="5943600" cy="19050"/>
                <wp:effectExtent l="0" t="0" r="0" b="0"/>
                <wp:docPr id="2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6" name=""/>
                        <wps:cNvSpPr/>
                      </wps:nvSpPr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</mc:AlternateContent>
      </w:r>
      <w:bookmarkEnd w:id="53"/>
    </w:p>
    <w:p>
      <w:pPr>
        <w:pStyle w:val="3"/>
        <w:rPr/>
      </w:pPr>
      <w:bookmarkStart w:id="54" w:name="X4ddb8f678c5e4d5b8a823b0500657741bd7faa4"/>
      <w:r>
        <w:rPr>
          <w:b/>
          <w:bCs/>
          <w:sz w:val="30"/>
          <w:szCs w:val="30"/>
        </w:rPr>
        <w:t>Slide 27 – Employment Retention</w:t>
      </w:r>
    </w:p>
    <w:p>
      <w:pPr>
        <w:pStyle w:val="FirstParagraph"/>
        <w:spacing w:lineRule="auto" w:line="420" w:before="0" w:after="120"/>
        <w:rPr/>
      </w:pPr>
      <w:r>
        <w:rPr>
          <w:sz w:val="24"/>
          <w:szCs w:val="24"/>
        </w:rPr>
        <w:t>Employment retention is the final outcome.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We should measure it through: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internship participation, certificate acquisition, job matching, open employment, six-month retention, twelve-month retention, and reasonable accommodation.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A job is not successful only when the student starts work.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It is successful when the student can stay in the job.</w:t>
      </w:r>
    </w:p>
    <w:p>
      <w:pPr>
        <w:pStyle w:val="Normal"/>
        <w:rPr/>
      </w:pPr>
      <w:bookmarkStart w:id="55" w:name="X4ddb8f678c5e4d5b8a823b0500657741bd7faa4"/>
      <w:r>
        <w:rPr/>
        <mc:AlternateContent>
          <mc:Choice Requires="wps">
            <w:drawing>
              <wp:inline distT="0" distB="0" distL="0" distR="0">
                <wp:extent cx="5943600" cy="19050"/>
                <wp:effectExtent l="0" t="0" r="0" b="0"/>
                <wp:docPr id="28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7" name=""/>
                        <wps:cNvSpPr/>
                      </wps:nvSpPr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</mc:AlternateContent>
      </w:r>
      <w:bookmarkEnd w:id="55"/>
    </w:p>
    <w:p>
      <w:pPr>
        <w:pStyle w:val="3"/>
        <w:rPr/>
      </w:pPr>
      <w:bookmarkStart w:id="56" w:name="bf3bcc5a-894b-4ee3-9351-2e9bbae2ce12"/>
      <w:r>
        <w:rPr>
          <w:b/>
          <w:bCs/>
          <w:sz w:val="30"/>
          <w:szCs w:val="30"/>
        </w:rPr>
        <w:t>Slide 28 – Common Barriers</w:t>
      </w:r>
    </w:p>
    <w:p>
      <w:pPr>
        <w:pStyle w:val="FirstParagraph"/>
        <w:spacing w:lineRule="auto" w:line="420" w:before="0" w:after="120"/>
        <w:rPr/>
      </w:pPr>
      <w:r>
        <w:rPr>
          <w:sz w:val="24"/>
          <w:szCs w:val="24"/>
        </w:rPr>
        <w:t>There are many barriers.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At the individual level, students may have difficulties in skills, communication, and self-regulation.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At the family level, families may worry about income, allowances, and safety.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At the workplace level, employers may have low acceptance.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Jobs may be too complex.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Workplace accommodation may be weak.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At the system level, data may be fragmented.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There may be limited job coaches.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Retention tracking may also be weak.</w:t>
      </w:r>
    </w:p>
    <w:p>
      <w:pPr>
        <w:pStyle w:val="Normal"/>
        <w:rPr/>
      </w:pPr>
      <w:bookmarkStart w:id="57" w:name="bf3bcc5a-894b-4ee3-9351-2e9bbae2ce12"/>
      <w:r>
        <w:rPr/>
        <mc:AlternateContent>
          <mc:Choice Requires="wps">
            <w:drawing>
              <wp:inline distT="0" distB="0" distL="0" distR="0">
                <wp:extent cx="5943600" cy="19050"/>
                <wp:effectExtent l="0" t="0" r="0" b="0"/>
                <wp:docPr id="2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8" name=""/>
                        <wps:cNvSpPr/>
                      </wps:nvSpPr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</mc:AlternateContent>
      </w:r>
      <w:bookmarkEnd w:id="57"/>
    </w:p>
    <w:p>
      <w:pPr>
        <w:pStyle w:val="3"/>
        <w:rPr/>
      </w:pPr>
      <w:bookmarkStart w:id="58" w:name="X22288fce016b1ee10b61d70e1603e224fb77b0f"/>
      <w:r>
        <w:rPr>
          <w:b/>
          <w:bCs/>
          <w:sz w:val="30"/>
          <w:szCs w:val="30"/>
        </w:rPr>
        <w:t>Slide 29 – Proposed Closed-Loop Model</w:t>
      </w:r>
    </w:p>
    <w:p>
      <w:pPr>
        <w:pStyle w:val="FirstParagraph"/>
        <w:spacing w:lineRule="auto" w:line="420" w:before="0" w:after="120"/>
        <w:rPr/>
      </w:pPr>
      <w:r>
        <w:rPr>
          <w:sz w:val="24"/>
          <w:szCs w:val="24"/>
        </w:rPr>
        <w:t>So, we need a closed-loop model.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The path is:</w:t>
      </w:r>
    </w:p>
    <w:p>
      <w:pPr>
        <w:pStyle w:val="Style8"/>
        <w:spacing w:lineRule="auto" w:line="420" w:before="0" w:after="120"/>
        <w:rPr/>
      </w:pPr>
      <w:r>
        <w:rPr>
          <w:b/>
          <w:bCs/>
          <w:sz w:val="24"/>
          <w:szCs w:val="24"/>
        </w:rPr>
        <w:t>vocational assessment, individual training plan, skill certification, real workplace internship, job coach support, employment, one-month, three-month, six-month, and twelve-month follow-up, and then retraining and adjustment.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This model helps students move from “trainable” to “sustainably employable.”</w:t>
      </w:r>
    </w:p>
    <w:p>
      <w:pPr>
        <w:pStyle w:val="Normal"/>
        <w:rPr/>
      </w:pPr>
      <w:bookmarkStart w:id="59" w:name="X22288fce016b1ee10b61d70e1603e224fb77b0f"/>
      <w:r>
        <w:rPr/>
        <mc:AlternateContent>
          <mc:Choice Requires="wps">
            <w:drawing>
              <wp:inline distT="0" distB="0" distL="0" distR="0">
                <wp:extent cx="5943600" cy="19050"/>
                <wp:effectExtent l="0" t="0" r="0" b="0"/>
                <wp:docPr id="30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9" name=""/>
                        <wps:cNvSpPr/>
                      </wps:nvSpPr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</mc:AlternateContent>
      </w:r>
      <w:bookmarkEnd w:id="59"/>
    </w:p>
    <w:p>
      <w:pPr>
        <w:pStyle w:val="3"/>
        <w:rPr/>
      </w:pPr>
      <w:bookmarkStart w:id="60" w:name="a8d9561f-3c49-46b5-aa57-a258a81b8aa4"/>
      <w:r>
        <w:rPr>
          <w:b/>
          <w:bCs/>
          <w:sz w:val="30"/>
          <w:szCs w:val="30"/>
        </w:rPr>
        <w:t>Slide 30 – Conclusion</w:t>
      </w:r>
    </w:p>
    <w:p>
      <w:pPr>
        <w:pStyle w:val="FirstParagraph"/>
        <w:spacing w:lineRule="auto" w:line="420" w:before="0" w:after="120"/>
        <w:rPr/>
      </w:pPr>
      <w:r>
        <w:rPr>
          <w:sz w:val="24"/>
          <w:szCs w:val="24"/>
        </w:rPr>
        <w:t>In conclusion, special vocational education should not stop at training.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The full path is:</w:t>
      </w:r>
    </w:p>
    <w:p>
      <w:pPr>
        <w:pStyle w:val="Style8"/>
        <w:spacing w:lineRule="auto" w:line="420" w:before="0" w:after="120"/>
        <w:rPr/>
      </w:pPr>
      <w:r>
        <w:rPr>
          <w:b/>
          <w:bCs/>
          <w:sz w:val="24"/>
          <w:szCs w:val="24"/>
        </w:rPr>
        <w:t>train, certify, practice, match, support, and retain.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Shanghai contributes educational equity and IEP continuity.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Kuala Lumpur contributes job matching, job coach support, and supported employment.</w:t>
      </w:r>
    </w:p>
    <w:p>
      <w:pPr>
        <w:pStyle w:val="Style8"/>
        <w:spacing w:lineRule="auto" w:line="420" w:before="0" w:after="120"/>
        <w:rPr/>
      </w:pPr>
      <w:r>
        <w:rPr>
          <w:sz w:val="24"/>
          <w:szCs w:val="24"/>
        </w:rPr>
        <w:t>The final message is:</w:t>
      </w:r>
    </w:p>
    <w:p>
      <w:pPr>
        <w:pStyle w:val="Style8"/>
        <w:spacing w:lineRule="auto" w:line="420" w:before="0" w:after="120"/>
        <w:rPr/>
      </w:pPr>
      <w:r>
        <w:rPr>
          <w:b/>
          <w:bCs/>
          <w:sz w:val="24"/>
          <w:szCs w:val="24"/>
        </w:rPr>
        <w:t>The goal is not simply to make students employable.</w:t>
      </w:r>
    </w:p>
    <w:p>
      <w:pPr>
        <w:pStyle w:val="Style8"/>
        <w:spacing w:lineRule="auto" w:line="420" w:before="0" w:after="120"/>
        <w:rPr/>
      </w:pPr>
      <w:r>
        <w:rPr>
          <w:b/>
          <w:bCs/>
          <w:sz w:val="24"/>
          <w:szCs w:val="24"/>
        </w:rPr>
        <w:t>The goal is to make employment sustainable.</w:t>
      </w:r>
    </w:p>
    <w:p>
      <w:pPr>
        <w:pStyle w:val="Style8"/>
        <w:spacing w:lineRule="auto" w:line="420" w:before="0" w:after="120"/>
        <w:rPr/>
      </w:pPr>
      <w:bookmarkStart w:id="61" w:name="a8d9561f-3c49-46b5-aa57-a258a81b8aa4"/>
      <w:r>
        <w:rPr>
          <w:sz w:val="24"/>
          <w:szCs w:val="24"/>
        </w:rPr>
        <w:t>Thank you.</w:t>
      </w:r>
      <w:bookmarkEnd w:id="61"/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125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Noto Sans Mono CJK SC">
    <w:charset w:val="01"/>
    <w:family w:val="roman"/>
    <w:pitch w:val="variable"/>
  </w:font>
  <w:font w:name="Aptos">
    <w:charset w:val="01"/>
    <w:family w:val="roman"/>
    <w:pitch w:val="variable"/>
  </w:font>
  <w:font w:name="Aptos Display">
    <w:charset w:val="01"/>
    <w:family w:val="roman"/>
    <w:pitch w:val="variable"/>
  </w:font>
  <w:font w:name="Consolas">
    <w:charset w:val="01"/>
    <w:family w:val="roman"/>
    <w:pitch w:val="variable"/>
  </w:font>
  <w:font w:name="Noto Sans Mono CJK SC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compat>
    <w:doNotExpandShiftReturn/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notosansmonocjksc" w:cs="notosansmonocjksc" w:asciiTheme="minorHAnsi" w:hAnsiTheme="minorHAnsi"/>
        <w:sz w:val="24"/>
        <w:szCs w:val="24"/>
        <w:lang w:val="en-US" w:eastAsia="zh-CN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76"/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Aptos" w:hAnsi="Aptos" w:eastAsia="notosansmonocjksc" w:cs="notosansmonocjksc" w:asciiTheme="minorHAnsi" w:hAnsiTheme="minorHAnsi"/>
      <w:color w:val="auto"/>
      <w:kern w:val="0"/>
      <w:sz w:val="24"/>
      <w:szCs w:val="24"/>
      <w:lang w:val="en-US" w:eastAsia="zh-CN" w:bidi="ar-SA"/>
    </w:rPr>
  </w:style>
  <w:style w:type="paragraph" w:styleId="1">
    <w:name w:val="Heading 1"/>
    <w:basedOn w:val="Normal"/>
    <w:next w:val="Style8"/>
    <w:link w:val="Heading1Char"/>
    <w:uiPriority w:val="9"/>
    <w:qFormat/>
    <w:rsid w:val="00a10fd9"/>
    <w:pPr>
      <w:keepNext w:val="true"/>
      <w:keepLines/>
      <w:spacing w:before="360" w:after="80"/>
      <w:outlineLvl w:val="0"/>
    </w:pPr>
    <w:rPr>
      <w:rFonts w:ascii="Aptos Display" w:hAnsi="Aptos Display" w:eastAsia="notosansmonocjksc" w:cs="notosansmonocjksc" w:asciiTheme="majorHAnsi" w:hAnsiTheme="majorHAnsi"/>
      <w:b/>
      <w:bCs/>
      <w:color w:val="000000"/>
      <w:sz w:val="44"/>
      <w:szCs w:val="44"/>
    </w:rPr>
  </w:style>
  <w:style w:type="paragraph" w:styleId="2">
    <w:name w:val="Heading 2"/>
    <w:basedOn w:val="Normal"/>
    <w:next w:val="Style8"/>
    <w:link w:val="Heading2Char"/>
    <w:uiPriority w:val="9"/>
    <w:unhideWhenUsed/>
    <w:qFormat/>
    <w:rsid w:val="00a10fd9"/>
    <w:pPr>
      <w:keepNext w:val="true"/>
      <w:keepLines/>
      <w:spacing w:before="240" w:after="80"/>
      <w:outlineLvl w:val="1"/>
    </w:pPr>
    <w:rPr>
      <w:rFonts w:ascii="Aptos Display" w:hAnsi="Aptos Display" w:eastAsia="notosansmonocjksc" w:cs="notosansmonocjksc" w:asciiTheme="majorHAnsi" w:hAnsiTheme="majorHAnsi"/>
      <w:b/>
      <w:bCs/>
      <w:color w:val="000000"/>
      <w:sz w:val="36"/>
      <w:szCs w:val="36"/>
    </w:rPr>
  </w:style>
  <w:style w:type="paragraph" w:styleId="3">
    <w:name w:val="Heading 3"/>
    <w:basedOn w:val="Normal"/>
    <w:next w:val="Style8"/>
    <w:link w:val="Heading3Char"/>
    <w:uiPriority w:val="9"/>
    <w:unhideWhenUsed/>
    <w:qFormat/>
    <w:rsid w:val="00a10fd9"/>
    <w:pPr>
      <w:keepNext w:val="true"/>
      <w:keepLines/>
      <w:spacing w:before="200" w:after="80"/>
      <w:outlineLvl w:val="2"/>
    </w:pPr>
    <w:rPr>
      <w:rFonts w:ascii="Aptos Display" w:hAnsi="Aptos Display" w:eastAsia="notosansmonocjksc" w:cs="notosansmonocjksc" w:asciiTheme="majorHAnsi" w:hAnsiTheme="majorHAnsi"/>
      <w:b/>
      <w:bCs/>
      <w:color w:val="000000"/>
      <w:sz w:val="28"/>
      <w:szCs w:val="28"/>
    </w:rPr>
  </w:style>
  <w:style w:type="paragraph" w:styleId="4">
    <w:name w:val="Heading 4"/>
    <w:basedOn w:val="Normal"/>
    <w:next w:val="Style8"/>
    <w:link w:val="Heading4Char"/>
    <w:uiPriority w:val="9"/>
    <w:unhideWhenUsed/>
    <w:qFormat/>
    <w:rsid w:val="00a10fd9"/>
    <w:pPr>
      <w:keepNext w:val="true"/>
      <w:keepLines/>
      <w:spacing w:before="160" w:after="60"/>
      <w:outlineLvl w:val="3"/>
    </w:pPr>
    <w:rPr>
      <w:rFonts w:ascii="Aptos Display" w:hAnsi="Aptos Display" w:eastAsia="notosansmonocjksc" w:cs="notosansmonocjksc" w:asciiTheme="majorHAnsi" w:hAnsiTheme="majorHAnsi"/>
      <w:b/>
      <w:bCs/>
      <w:color w:val="000000"/>
      <w:sz w:val="24"/>
      <w:szCs w:val="24"/>
    </w:rPr>
  </w:style>
  <w:style w:type="paragraph" w:styleId="5">
    <w:name w:val="Heading 5"/>
    <w:basedOn w:val="Normal"/>
    <w:next w:val="Style8"/>
    <w:link w:val="Heading5Char"/>
    <w:uiPriority w:val="9"/>
    <w:unhideWhenUsed/>
    <w:qFormat/>
    <w:rsid w:val="00a10fd9"/>
    <w:pPr>
      <w:keepNext w:val="true"/>
      <w:keepLines/>
      <w:spacing w:before="160" w:after="60"/>
      <w:outlineLvl w:val="4"/>
    </w:pPr>
    <w:rPr>
      <w:rFonts w:ascii="Aptos Display" w:hAnsi="Aptos Display" w:eastAsia="notosansmonocjksc" w:cs="notosansmonocjksc" w:asciiTheme="majorHAnsi" w:hAnsiTheme="majorHAnsi"/>
      <w:b/>
      <w:bCs/>
      <w:color w:val="000000"/>
      <w:sz w:val="22"/>
      <w:szCs w:val="22"/>
    </w:rPr>
  </w:style>
  <w:style w:type="paragraph" w:styleId="6">
    <w:name w:val="Heading 6"/>
    <w:basedOn w:val="Normal"/>
    <w:next w:val="Style8"/>
    <w:link w:val="Heading6Char"/>
    <w:uiPriority w:val="9"/>
    <w:unhideWhenUsed/>
    <w:qFormat/>
    <w:rsid w:val="00a10fd9"/>
    <w:pPr>
      <w:keepNext w:val="true"/>
      <w:keepLines/>
      <w:spacing w:before="120" w:after="40"/>
      <w:outlineLvl w:val="5"/>
    </w:pPr>
    <w:rPr>
      <w:rFonts w:ascii="Aptos Display" w:hAnsi="Aptos Display" w:eastAsia="notosansmonocjksc" w:cs="notosansmonocjksc" w:asciiTheme="majorHAnsi" w:hAnsiTheme="majorHAnsi"/>
      <w:b/>
      <w:bCs/>
      <w:color w:val="000000"/>
      <w:sz w:val="21"/>
      <w:szCs w:val="21"/>
    </w:rPr>
  </w:style>
  <w:style w:type="paragraph" w:styleId="7">
    <w:name w:val="Heading 7"/>
    <w:basedOn w:val="Normal"/>
    <w:next w:val="Style8"/>
    <w:link w:val="Heading7Char"/>
    <w:uiPriority w:val="9"/>
    <w:unhideWhenUsed/>
    <w:qFormat/>
    <w:rsid w:val="00a10fd9"/>
    <w:pPr>
      <w:keepNext w:val="true"/>
      <w:keepLines/>
      <w:spacing w:before="120" w:after="40"/>
      <w:outlineLvl w:val="6"/>
    </w:pPr>
    <w:rPr>
      <w:rFonts w:ascii="Aptos Display" w:hAnsi="Aptos Display" w:eastAsia="notosansmonocjksc" w:cs="notosansmonocjksc" w:asciiTheme="majorHAnsi" w:hAnsiTheme="majorHAnsi"/>
      <w:b/>
      <w:bCs/>
      <w:color w:val="000000"/>
      <w:sz w:val="21"/>
      <w:szCs w:val="21"/>
    </w:rPr>
  </w:style>
  <w:style w:type="paragraph" w:styleId="8">
    <w:name w:val="Heading 8"/>
    <w:basedOn w:val="Normal"/>
    <w:next w:val="Style8"/>
    <w:link w:val="Heading8Char"/>
    <w:uiPriority w:val="9"/>
    <w:unhideWhenUsed/>
    <w:qFormat/>
    <w:rsid w:val="00a10fd9"/>
    <w:pPr>
      <w:keepNext w:val="true"/>
      <w:keepLines/>
      <w:spacing w:before="120" w:after="40"/>
      <w:outlineLvl w:val="7"/>
    </w:pPr>
    <w:rPr>
      <w:rFonts w:ascii="Aptos Display" w:hAnsi="Aptos Display" w:eastAsia="notosansmonocjksc" w:cs="notosansmonocjksc" w:asciiTheme="majorHAnsi" w:hAnsiTheme="majorHAnsi"/>
      <w:b/>
      <w:bCs/>
      <w:color w:val="000000"/>
      <w:sz w:val="21"/>
      <w:szCs w:val="21"/>
    </w:rPr>
  </w:style>
  <w:style w:type="paragraph" w:styleId="9">
    <w:name w:val="Heading 9"/>
    <w:basedOn w:val="Normal"/>
    <w:next w:val="Style8"/>
    <w:link w:val="Heading9Char"/>
    <w:uiPriority w:val="9"/>
    <w:unhideWhenUsed/>
    <w:qFormat/>
    <w:rsid w:val="00a10fd9"/>
    <w:pPr>
      <w:keepNext w:val="true"/>
      <w:keepLines/>
      <w:spacing w:before="120" w:after="40"/>
      <w:outlineLvl w:val="8"/>
    </w:pPr>
    <w:rPr>
      <w:rFonts w:ascii="Aptos Display" w:hAnsi="Aptos Display" w:eastAsia="notosansmonocjksc" w:cs="notosansmonocjksc" w:asciiTheme="majorHAnsi" w:hAnsiTheme="majorHAnsi"/>
      <w:b/>
      <w:bCs/>
      <w:color w:val="000000"/>
      <w:sz w:val="21"/>
      <w:szCs w:val="21"/>
    </w:rPr>
  </w:style>
  <w:style w:type="character" w:styleId="TitleChar" w:customStyle="1">
    <w:name w:val="Title Char"/>
    <w:basedOn w:val="DefaultParagraphFont"/>
    <w:uiPriority w:val="10"/>
    <w:qFormat/>
    <w:rsid w:val="00a10fd9"/>
    <w:rPr>
      <w:rFonts w:ascii="Aptos Display" w:hAnsi="Aptos Display" w:eastAsia="notosansmonocjksc" w:cs="notosansmonocjksc" w:asciiTheme="majorHAnsi" w:hAnsiTheme="majorHAnsi"/>
      <w:sz w:val="56"/>
      <w:szCs w:val="56"/>
    </w:rPr>
  </w:style>
  <w:style w:type="character" w:styleId="SubtitleChar" w:customStyle="1">
    <w:name w:val="Subtitle Char"/>
    <w:basedOn w:val="DefaultParagraphFont"/>
    <w:uiPriority w:val="11"/>
    <w:qFormat/>
    <w:rsid w:val="00a10fd9"/>
    <w:rPr>
      <w:rFonts w:eastAsia="notosansmonocjksc" w:cs="notosansmonocjksc"/>
      <w:color w:val="595959" w:themeColor="text1" w:themeTint="a6"/>
      <w:spacing w:val="15"/>
      <w:sz w:val="28"/>
      <w:szCs w:val="28"/>
    </w:rPr>
  </w:style>
  <w:style w:type="character" w:styleId="Heading1Char" w:customStyle="1">
    <w:name w:val="Heading 1 Char"/>
    <w:basedOn w:val="DefaultParagraphFont"/>
    <w:uiPriority w:val="9"/>
    <w:qFormat/>
    <w:rsid w:val="00a10fd9"/>
    <w:rPr>
      <w:rFonts w:ascii="Aptos Display" w:hAnsi="Aptos Display" w:eastAsia="notosansmonocjksc" w:cs="notosansmonocjksc" w:asciiTheme="majorHAnsi" w:hAnsiTheme="majorHAnsi"/>
      <w:b/>
      <w:bCs/>
      <w:color w:val="000000"/>
      <w:sz w:val="44"/>
      <w:szCs w:val="44"/>
    </w:rPr>
  </w:style>
  <w:style w:type="character" w:styleId="Heading2Char" w:customStyle="1">
    <w:name w:val="Heading 2 Char"/>
    <w:basedOn w:val="DefaultParagraphFont"/>
    <w:uiPriority w:val="9"/>
    <w:qFormat/>
    <w:rsid w:val="00a10fd9"/>
    <w:rPr>
      <w:rFonts w:ascii="Aptos Display" w:hAnsi="Aptos Display" w:eastAsia="notosansmonocjksc" w:cs="notosansmonocjksc" w:asciiTheme="majorHAnsi" w:hAnsiTheme="majorHAnsi"/>
      <w:b/>
      <w:bCs/>
      <w:color w:val="000000"/>
      <w:sz w:val="36"/>
      <w:szCs w:val="36"/>
    </w:rPr>
  </w:style>
  <w:style w:type="character" w:styleId="Heading3Char" w:customStyle="1">
    <w:name w:val="Heading 3 Char"/>
    <w:basedOn w:val="DefaultParagraphFont"/>
    <w:uiPriority w:val="9"/>
    <w:qFormat/>
    <w:rsid w:val="00a10fd9"/>
    <w:rPr>
      <w:rFonts w:ascii="Aptos Display" w:hAnsi="Aptos Display" w:eastAsia="notosansmonocjksc" w:cs="notosansmonocjksc" w:asciiTheme="majorHAnsi" w:hAnsiTheme="majorHAnsi"/>
      <w:b/>
      <w:bCs/>
      <w:color w:val="000000"/>
      <w:sz w:val="28"/>
      <w:szCs w:val="28"/>
    </w:rPr>
  </w:style>
  <w:style w:type="character" w:styleId="Heading4Char" w:customStyle="1">
    <w:name w:val="Heading 4 Char"/>
    <w:basedOn w:val="DefaultParagraphFont"/>
    <w:uiPriority w:val="9"/>
    <w:qFormat/>
    <w:rsid w:val="00a10fd9"/>
    <w:rPr>
      <w:rFonts w:ascii="Aptos Display" w:hAnsi="Aptos Display" w:eastAsia="notosansmonocjksc" w:cs="notosansmonocjksc" w:asciiTheme="majorHAnsi" w:hAnsiTheme="majorHAnsi"/>
      <w:b/>
      <w:bCs/>
      <w:color w:val="000000"/>
      <w:sz w:val="24"/>
      <w:szCs w:val="24"/>
    </w:rPr>
  </w:style>
  <w:style w:type="character" w:styleId="Heading5Char" w:customStyle="1">
    <w:name w:val="Heading 5 Char"/>
    <w:basedOn w:val="DefaultParagraphFont"/>
    <w:uiPriority w:val="9"/>
    <w:qFormat/>
    <w:rsid w:val="00a10fd9"/>
    <w:rPr>
      <w:rFonts w:ascii="Aptos Display" w:hAnsi="Aptos Display" w:eastAsia="notosansmonocjksc" w:cs="notosansmonocjksc" w:asciiTheme="majorHAnsi" w:hAnsiTheme="majorHAnsi"/>
      <w:b/>
      <w:bCs/>
      <w:color w:val="000000"/>
      <w:sz w:val="22"/>
      <w:szCs w:val="22"/>
    </w:rPr>
  </w:style>
  <w:style w:type="character" w:styleId="Heading6Char" w:customStyle="1">
    <w:name w:val="Heading 6 Char"/>
    <w:basedOn w:val="DefaultParagraphFont"/>
    <w:uiPriority w:val="9"/>
    <w:qFormat/>
    <w:rsid w:val="00a10fd9"/>
    <w:rPr>
      <w:rFonts w:ascii="Aptos Display" w:hAnsi="Aptos Display" w:eastAsia="notosansmonocjksc" w:cs="notosansmonocjksc" w:asciiTheme="majorHAnsi" w:hAnsiTheme="majorHAnsi"/>
      <w:b/>
      <w:bCs/>
      <w:color w:val="000000"/>
      <w:sz w:val="21"/>
      <w:szCs w:val="21"/>
    </w:rPr>
  </w:style>
  <w:style w:type="character" w:styleId="Heading7Char" w:customStyle="1">
    <w:name w:val="Heading 7 Char"/>
    <w:basedOn w:val="DefaultParagraphFont"/>
    <w:uiPriority w:val="9"/>
    <w:qFormat/>
    <w:rsid w:val="00a10fd9"/>
    <w:rPr>
      <w:rFonts w:ascii="Aptos Display" w:hAnsi="Aptos Display" w:eastAsia="notosansmonocjksc" w:cs="notosansmonocjksc" w:asciiTheme="majorHAnsi" w:hAnsiTheme="majorHAnsi"/>
      <w:b/>
      <w:bCs/>
      <w:color w:val="000000"/>
      <w:sz w:val="21"/>
      <w:szCs w:val="21"/>
    </w:rPr>
  </w:style>
  <w:style w:type="character" w:styleId="Heading8Char" w:customStyle="1">
    <w:name w:val="Heading 8 Char"/>
    <w:basedOn w:val="DefaultParagraphFont"/>
    <w:uiPriority w:val="9"/>
    <w:qFormat/>
    <w:rsid w:val="00a10fd9"/>
    <w:rPr>
      <w:rFonts w:ascii="Aptos Display" w:hAnsi="Aptos Display" w:eastAsia="notosansmonocjksc" w:cs="notosansmonocjksc" w:asciiTheme="majorHAnsi" w:hAnsiTheme="majorHAnsi"/>
      <w:b/>
      <w:bCs/>
      <w:color w:val="000000"/>
      <w:sz w:val="21"/>
      <w:szCs w:val="21"/>
    </w:rPr>
  </w:style>
  <w:style w:type="character" w:styleId="Heading9Char" w:customStyle="1">
    <w:name w:val="Heading 9 Char"/>
    <w:basedOn w:val="DefaultParagraphFont"/>
    <w:uiPriority w:val="9"/>
    <w:qFormat/>
    <w:rsid w:val="00a10fd9"/>
    <w:rPr>
      <w:rFonts w:ascii="Aptos Display" w:hAnsi="Aptos Display" w:eastAsia="notosansmonocjksc" w:cs="notosansmonocjksc" w:asciiTheme="majorHAnsi" w:hAnsiTheme="majorHAnsi"/>
      <w:b/>
      <w:bCs/>
      <w:color w:val="000000"/>
      <w:sz w:val="21"/>
      <w:szCs w:val="21"/>
    </w:rPr>
  </w:style>
  <w:style w:type="character" w:styleId="DefaultParagraphFont" w:default="1">
    <w:name w:val="Default Paragraph Font"/>
    <w:semiHidden/>
    <w:unhideWhenUsed/>
    <w:qFormat/>
    <w:rPr/>
  </w:style>
  <w:style w:type="character" w:styleId="BodyTextChar" w:customStyle="1">
    <w:name w:val="Body Text Char"/>
    <w:basedOn w:val="DefaultParagraphFont"/>
    <w:qFormat/>
    <w:rPr/>
  </w:style>
  <w:style w:type="character" w:styleId="VerbatimChar" w:customStyle="1">
    <w:name w:val="Verbatim Char"/>
    <w:basedOn w:val="BodyTextChar"/>
    <w:qFormat/>
    <w:rPr>
      <w:rFonts w:ascii="Consolas" w:hAnsi="Consolas"/>
      <w:color w:val="333333"/>
      <w:sz w:val="22"/>
      <w:shd w:fill="F0F0F0" w:val="clear"/>
    </w:rPr>
  </w:style>
  <w:style w:type="character" w:styleId="SectionNumber" w:customStyle="1">
    <w:name w:val="Section Number"/>
    <w:basedOn w:val="BodyTextChar"/>
    <w:qFormat/>
    <w:rPr/>
  </w:style>
  <w:style w:type="character" w:styleId="Style5">
    <w:name w:val="脚注锚点"/>
    <w:rPr>
      <w:vertAlign w:val="superscript"/>
    </w:rPr>
  </w:style>
  <w:style w:type="character" w:styleId="FootnoteCharacters">
    <w:name w:val="Footnote Characters"/>
    <w:basedOn w:val="BodyTextChar"/>
    <w:qFormat/>
    <w:rPr>
      <w:vertAlign w:val="superscript"/>
    </w:rPr>
  </w:style>
  <w:style w:type="character" w:styleId="Internet">
    <w:name w:val="Internet 链接"/>
    <w:basedOn w:val="BodyTextChar"/>
    <w:rPr>
      <w:color w:val="4F81BD" w:themeColor="accent1"/>
    </w:rPr>
  </w:style>
  <w:style w:type="character" w:styleId="KeywordTok" w:customStyle="1">
    <w:name w:val="KeywordTok"/>
    <w:basedOn w:val="VerbatimChar"/>
    <w:qFormat/>
    <w:rPr>
      <w:b/>
      <w:color w:val="007020"/>
    </w:rPr>
  </w:style>
  <w:style w:type="character" w:styleId="DataTypeTok" w:customStyle="1">
    <w:name w:val="DataTypeTok"/>
    <w:basedOn w:val="VerbatimChar"/>
    <w:qFormat/>
    <w:rPr>
      <w:color w:val="902000"/>
    </w:rPr>
  </w:style>
  <w:style w:type="character" w:styleId="DecValTok" w:customStyle="1">
    <w:name w:val="DecValTok"/>
    <w:basedOn w:val="VerbatimChar"/>
    <w:qFormat/>
    <w:rPr>
      <w:color w:val="40A070"/>
    </w:rPr>
  </w:style>
  <w:style w:type="character" w:styleId="BaseNTok" w:customStyle="1">
    <w:name w:val="BaseNTok"/>
    <w:basedOn w:val="VerbatimChar"/>
    <w:qFormat/>
    <w:rPr>
      <w:color w:val="40A070"/>
    </w:rPr>
  </w:style>
  <w:style w:type="character" w:styleId="FloatTok" w:customStyle="1">
    <w:name w:val="FloatTok"/>
    <w:basedOn w:val="VerbatimChar"/>
    <w:qFormat/>
    <w:rPr>
      <w:color w:val="40A070"/>
    </w:rPr>
  </w:style>
  <w:style w:type="character" w:styleId="ConstantTok" w:customStyle="1">
    <w:name w:val="ConstantTok"/>
    <w:basedOn w:val="VerbatimChar"/>
    <w:qFormat/>
    <w:rPr>
      <w:color w:val="880000"/>
    </w:rPr>
  </w:style>
  <w:style w:type="character" w:styleId="CharTok" w:customStyle="1">
    <w:name w:val="CharTok"/>
    <w:basedOn w:val="VerbatimChar"/>
    <w:qFormat/>
    <w:rPr>
      <w:color w:val="4070A0"/>
    </w:rPr>
  </w:style>
  <w:style w:type="character" w:styleId="SpecialCharTok" w:customStyle="1">
    <w:name w:val="SpecialCharTok"/>
    <w:basedOn w:val="VerbatimChar"/>
    <w:qFormat/>
    <w:rPr>
      <w:color w:val="4070A0"/>
    </w:rPr>
  </w:style>
  <w:style w:type="character" w:styleId="StringTok" w:customStyle="1">
    <w:name w:val="StringTok"/>
    <w:basedOn w:val="VerbatimChar"/>
    <w:qFormat/>
    <w:rPr>
      <w:color w:val="4070A0"/>
    </w:rPr>
  </w:style>
  <w:style w:type="character" w:styleId="VerbatimStringTok" w:customStyle="1">
    <w:name w:val="VerbatimStringTok"/>
    <w:basedOn w:val="VerbatimChar"/>
    <w:qFormat/>
    <w:rPr>
      <w:color w:val="4070A0"/>
    </w:rPr>
  </w:style>
  <w:style w:type="character" w:styleId="SpecialStringTok" w:customStyle="1">
    <w:name w:val="SpecialStringTok"/>
    <w:basedOn w:val="VerbatimChar"/>
    <w:qFormat/>
    <w:rPr>
      <w:color w:val="BB6688"/>
    </w:rPr>
  </w:style>
  <w:style w:type="character" w:styleId="ImportTok" w:customStyle="1">
    <w:name w:val="ImportTok"/>
    <w:basedOn w:val="VerbatimChar"/>
    <w:qFormat/>
    <w:rPr>
      <w:b/>
      <w:color w:val="008000"/>
    </w:rPr>
  </w:style>
  <w:style w:type="character" w:styleId="CommentTok" w:customStyle="1">
    <w:name w:val="CommentTok"/>
    <w:basedOn w:val="VerbatimChar"/>
    <w:qFormat/>
    <w:rPr>
      <w:i/>
      <w:color w:val="60A0B0"/>
    </w:rPr>
  </w:style>
  <w:style w:type="character" w:styleId="DocumentationTok" w:customStyle="1">
    <w:name w:val="DocumentationTok"/>
    <w:basedOn w:val="VerbatimChar"/>
    <w:qFormat/>
    <w:rPr>
      <w:i/>
      <w:color w:val="BA2121"/>
    </w:rPr>
  </w:style>
  <w:style w:type="character" w:styleId="AnnotationTok" w:customStyle="1">
    <w:name w:val="AnnotationTok"/>
    <w:basedOn w:val="VerbatimChar"/>
    <w:qFormat/>
    <w:rPr>
      <w:b/>
      <w:i/>
      <w:color w:val="60A0B0"/>
    </w:rPr>
  </w:style>
  <w:style w:type="character" w:styleId="CommentVarTok" w:customStyle="1">
    <w:name w:val="CommentVarTok"/>
    <w:basedOn w:val="VerbatimChar"/>
    <w:qFormat/>
    <w:rPr>
      <w:b/>
      <w:i/>
      <w:color w:val="60A0B0"/>
    </w:rPr>
  </w:style>
  <w:style w:type="character" w:styleId="OtherTok" w:customStyle="1">
    <w:name w:val="OtherTok"/>
    <w:basedOn w:val="VerbatimChar"/>
    <w:qFormat/>
    <w:rPr>
      <w:color w:val="007020"/>
    </w:rPr>
  </w:style>
  <w:style w:type="character" w:styleId="FunctionTok" w:customStyle="1">
    <w:name w:val="FunctionTok"/>
    <w:basedOn w:val="VerbatimChar"/>
    <w:qFormat/>
    <w:rPr>
      <w:color w:val="06287E"/>
    </w:rPr>
  </w:style>
  <w:style w:type="character" w:styleId="VariableTok" w:customStyle="1">
    <w:name w:val="VariableTok"/>
    <w:basedOn w:val="VerbatimChar"/>
    <w:qFormat/>
    <w:rPr>
      <w:color w:val="19177C"/>
    </w:rPr>
  </w:style>
  <w:style w:type="character" w:styleId="ControlFlowTok" w:customStyle="1">
    <w:name w:val="ControlFlowTok"/>
    <w:basedOn w:val="VerbatimChar"/>
    <w:qFormat/>
    <w:rPr>
      <w:b/>
      <w:color w:val="007020"/>
    </w:rPr>
  </w:style>
  <w:style w:type="character" w:styleId="OperatorTok" w:customStyle="1">
    <w:name w:val="OperatorTok"/>
    <w:basedOn w:val="VerbatimChar"/>
    <w:qFormat/>
    <w:rPr>
      <w:color w:val="666666"/>
    </w:rPr>
  </w:style>
  <w:style w:type="character" w:styleId="BuiltInTok" w:customStyle="1">
    <w:name w:val="BuiltInTok"/>
    <w:basedOn w:val="VerbatimChar"/>
    <w:qFormat/>
    <w:rPr>
      <w:color w:val="008000"/>
    </w:rPr>
  </w:style>
  <w:style w:type="character" w:styleId="ExtensionTok" w:customStyle="1">
    <w:name w:val="ExtensionTok"/>
    <w:basedOn w:val="VerbatimChar"/>
    <w:qFormat/>
    <w:rPr/>
  </w:style>
  <w:style w:type="character" w:styleId="PreprocessorTok" w:customStyle="1">
    <w:name w:val="PreprocessorTok"/>
    <w:basedOn w:val="VerbatimChar"/>
    <w:qFormat/>
    <w:rPr>
      <w:color w:val="BC7A00"/>
    </w:rPr>
  </w:style>
  <w:style w:type="character" w:styleId="AttributeTok" w:customStyle="1">
    <w:name w:val="AttributeTok"/>
    <w:basedOn w:val="VerbatimChar"/>
    <w:qFormat/>
    <w:rPr>
      <w:color w:val="7D9029"/>
    </w:rPr>
  </w:style>
  <w:style w:type="character" w:styleId="RegionMarkerTok" w:customStyle="1">
    <w:name w:val="RegionMarkerTok"/>
    <w:basedOn w:val="VerbatimChar"/>
    <w:qFormat/>
    <w:rPr/>
  </w:style>
  <w:style w:type="character" w:styleId="InformationTok" w:customStyle="1">
    <w:name w:val="InformationTok"/>
    <w:basedOn w:val="VerbatimChar"/>
    <w:qFormat/>
    <w:rPr>
      <w:b/>
      <w:i/>
      <w:color w:val="60A0B0"/>
    </w:rPr>
  </w:style>
  <w:style w:type="character" w:styleId="WarningTok" w:customStyle="1">
    <w:name w:val="WarningTok"/>
    <w:basedOn w:val="VerbatimChar"/>
    <w:qFormat/>
    <w:rPr>
      <w:b/>
      <w:i/>
      <w:color w:val="60A0B0"/>
    </w:rPr>
  </w:style>
  <w:style w:type="character" w:styleId="AlertTok" w:customStyle="1">
    <w:name w:val="AlertTok"/>
    <w:basedOn w:val="VerbatimChar"/>
    <w:qFormat/>
    <w:rPr>
      <w:b/>
      <w:color w:val="FF0000"/>
    </w:rPr>
  </w:style>
  <w:style w:type="character" w:styleId="ErrorTok" w:customStyle="1">
    <w:name w:val="ErrorTok"/>
    <w:basedOn w:val="VerbatimChar"/>
    <w:qFormat/>
    <w:rPr>
      <w:b/>
      <w:color w:val="FF0000"/>
    </w:rPr>
  </w:style>
  <w:style w:type="character" w:styleId="NormalTok" w:customStyle="1">
    <w:name w:val="NormalTok"/>
    <w:basedOn w:val="VerbatimChar"/>
    <w:qFormat/>
    <w:rPr/>
  </w:style>
  <w:style w:type="character" w:styleId="Style6">
    <w:name w:val="脚注符"/>
    <w:qFormat/>
    <w:rPr/>
  </w:style>
  <w:style w:type="paragraph" w:styleId="Style7">
    <w:name w:val="标题样式"/>
    <w:basedOn w:val="Normal"/>
    <w:next w:val="Style8"/>
    <w:qFormat/>
    <w:pPr>
      <w:keepNext w:val="true"/>
      <w:spacing w:before="240" w:after="120"/>
    </w:pPr>
    <w:rPr>
      <w:rFonts w:ascii="Noto Sans Mono CJK SC" w:hAnsi="Noto Sans Mono CJK SC" w:eastAsia="Noto Sans Mono CJK SC" w:cs="Noto Sans Mono CJK SC"/>
      <w:sz w:val="28"/>
      <w:szCs w:val="28"/>
    </w:rPr>
  </w:style>
  <w:style w:type="paragraph" w:styleId="Style8">
    <w:name w:val="Body Text"/>
    <w:basedOn w:val="Normal"/>
    <w:link w:val="BodyTextChar"/>
    <w:qFormat/>
    <w:pPr>
      <w:spacing w:before="0" w:after="0"/>
    </w:pPr>
    <w:rPr/>
  </w:style>
  <w:style w:type="paragraph" w:styleId="Style9">
    <w:name w:val="List"/>
    <w:basedOn w:val="Style8"/>
    <w:pPr/>
    <w:rPr/>
  </w:style>
  <w:style w:type="paragraph" w:styleId="Style10">
    <w:name w:val="Caption"/>
    <w:basedOn w:val="Normal"/>
    <w:link w:val="BodyTextChar"/>
    <w:qFormat/>
    <w:pPr>
      <w:spacing w:before="0" w:after="120"/>
    </w:pPr>
    <w:rPr>
      <w:i/>
    </w:rPr>
  </w:style>
  <w:style w:type="paragraph" w:styleId="Style11">
    <w:name w:val="索引"/>
    <w:basedOn w:val="Normal"/>
    <w:qFormat/>
    <w:pPr>
      <w:suppressLineNumbers/>
    </w:pPr>
    <w:rPr>
      <w:lang w:val="zxx" w:eastAsia="zxx" w:bidi="zxx"/>
    </w:rPr>
  </w:style>
  <w:style w:type="paragraph" w:styleId="FirstParagraph" w:customStyle="1">
    <w:name w:val="First Paragraph"/>
    <w:basedOn w:val="Style8"/>
    <w:next w:val="Style8"/>
    <w:qFormat/>
    <w:pPr/>
    <w:rPr/>
  </w:style>
  <w:style w:type="paragraph" w:styleId="Compact" w:customStyle="1">
    <w:name w:val="Compact"/>
    <w:basedOn w:val="Style8"/>
    <w:qFormat/>
    <w:pPr>
      <w:spacing w:before="0" w:after="0"/>
    </w:pPr>
    <w:rPr/>
  </w:style>
  <w:style w:type="paragraph" w:styleId="Style12">
    <w:name w:val="Title"/>
    <w:basedOn w:val="Normal"/>
    <w:next w:val="Style8"/>
    <w:link w:val="TitleChar"/>
    <w:uiPriority w:val="10"/>
    <w:qFormat/>
    <w:rsid w:val="00a10fd9"/>
    <w:pPr>
      <w:spacing w:lineRule="auto" w:line="240" w:before="0" w:after="80"/>
      <w:contextualSpacing/>
      <w:jc w:val="center"/>
    </w:pPr>
    <w:rPr>
      <w:rFonts w:ascii="Aptos Display" w:hAnsi="Aptos Display" w:eastAsia="notosansmonocjksc" w:cs="notosansmonocjksc" w:asciiTheme="majorHAnsi" w:hAnsiTheme="majorHAnsi"/>
      <w:sz w:val="56"/>
      <w:szCs w:val="56"/>
    </w:rPr>
  </w:style>
  <w:style w:type="paragraph" w:styleId="Style13">
    <w:name w:val="Subtitle"/>
    <w:basedOn w:val="Style12"/>
    <w:next w:val="Style8"/>
    <w:link w:val="SubtitleChar"/>
    <w:uiPriority w:val="11"/>
    <w:qFormat/>
    <w:rsid w:val="00a10fd9"/>
    <w:pPr/>
    <w:rPr>
      <w:rFonts w:eastAsia="notosansmonocjksc" w:cs="notosansmonocjksc"/>
      <w:spacing w:val="15"/>
      <w:sz w:val="28"/>
      <w:szCs w:val="28"/>
    </w:rPr>
  </w:style>
  <w:style w:type="paragraph" w:styleId="Author" w:customStyle="1">
    <w:name w:val="Author"/>
    <w:basedOn w:val="Style12"/>
    <w:next w:val="Style8"/>
    <w:qFormat/>
    <w:pPr>
      <w:keepNext w:val="true"/>
      <w:keepLines/>
    </w:pPr>
    <w:rPr>
      <w:sz w:val="24"/>
      <w:szCs w:val="24"/>
    </w:rPr>
  </w:style>
  <w:style w:type="paragraph" w:styleId="Date">
    <w:name w:val="Date"/>
    <w:basedOn w:val="Style12"/>
    <w:next w:val="Style8"/>
    <w:qFormat/>
    <w:pPr>
      <w:keepNext w:val="true"/>
      <w:keepLines/>
    </w:pPr>
    <w:rPr>
      <w:sz w:val="24"/>
      <w:szCs w:val="24"/>
    </w:rPr>
  </w:style>
  <w:style w:type="paragraph" w:styleId="AbstractTitle" w:customStyle="1">
    <w:name w:val="Abstract Title"/>
    <w:basedOn w:val="Normal"/>
    <w:next w:val="Abstract"/>
    <w:qFormat/>
    <w:pPr>
      <w:keepNext w:val="true"/>
      <w:keepLines/>
      <w:spacing w:before="300" w:after="0"/>
      <w:jc w:val="center"/>
    </w:pPr>
    <w:rPr>
      <w:b/>
      <w:sz w:val="20"/>
      <w:szCs w:val="20"/>
    </w:rPr>
  </w:style>
  <w:style w:type="paragraph" w:styleId="Abstract" w:customStyle="1">
    <w:name w:val="Abstract"/>
    <w:basedOn w:val="Normal"/>
    <w:next w:val="Style8"/>
    <w:qFormat/>
    <w:pPr>
      <w:keepNext w:val="true"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  <w:pPr/>
    <w:rPr/>
  </w:style>
  <w:style w:type="paragraph" w:styleId="BlockText">
    <w:name w:val="Block Text"/>
    <w:basedOn w:val="Style8"/>
    <w:next w:val="Style8"/>
    <w:uiPriority w:val="9"/>
    <w:unhideWhenUsed/>
    <w:qFormat/>
    <w:pPr>
      <w:pBdr>
        <w:left w:val="single" w:sz="18" w:space="12" w:color="CCCCCC"/>
      </w:pBdr>
      <w:spacing w:before="100" w:after="100"/>
      <w:ind w:left="480" w:right="480" w:hanging="0"/>
    </w:pPr>
    <w:rPr>
      <w:color w:val="999999"/>
    </w:rPr>
  </w:style>
  <w:style w:type="paragraph" w:styleId="Style14">
    <w:name w:val="Footnote Text"/>
    <w:basedOn w:val="Normal"/>
    <w:uiPriority w:val="9"/>
    <w:unhideWhenUsed/>
    <w:qFormat/>
    <w:pPr/>
    <w:rPr/>
  </w:style>
  <w:style w:type="paragraph" w:styleId="FootnoteBlockText">
    <w:name w:val="Footnote Block Text"/>
    <w:basedOn w:val="Style14"/>
    <w:next w:val="Style14"/>
    <w:uiPriority w:val="9"/>
    <w:unhideWhenUsed/>
    <w:qFormat/>
    <w:pPr>
      <w:spacing w:before="100" w:after="100"/>
      <w:ind w:left="480" w:right="480" w:hanging="0"/>
    </w:pPr>
    <w:rPr/>
  </w:style>
  <w:style w:type="paragraph" w:styleId="DefinitionTerm" w:customStyle="1">
    <w:name w:val="Definition Term"/>
    <w:basedOn w:val="Normal"/>
    <w:next w:val="Definition"/>
    <w:qFormat/>
    <w:pPr>
      <w:keepNext w:val="true"/>
      <w:keepLines/>
      <w:spacing w:before="0" w:after="0"/>
    </w:pPr>
    <w:rPr>
      <w:b/>
    </w:rPr>
  </w:style>
  <w:style w:type="paragraph" w:styleId="Definition" w:customStyle="1">
    <w:name w:val="Definition"/>
    <w:basedOn w:val="Normal"/>
    <w:qFormat/>
    <w:pPr/>
    <w:rPr/>
  </w:style>
  <w:style w:type="paragraph" w:styleId="TableCaption" w:customStyle="1">
    <w:name w:val="Table Caption"/>
    <w:basedOn w:val="Style10"/>
    <w:qFormat/>
    <w:pPr>
      <w:keepNext w:val="true"/>
    </w:pPr>
    <w:rPr/>
  </w:style>
  <w:style w:type="paragraph" w:styleId="ImageCaption" w:customStyle="1">
    <w:name w:val="Image Caption"/>
    <w:basedOn w:val="Style10"/>
    <w:qFormat/>
    <w:pPr/>
    <w:rPr/>
  </w:style>
  <w:style w:type="paragraph" w:styleId="Style15" w:customStyle="1">
    <w:name w:val="图示"/>
    <w:basedOn w:val="Normal"/>
    <w:qFormat/>
    <w:pPr/>
    <w:rPr/>
  </w:style>
  <w:style w:type="paragraph" w:styleId="CaptionedFigure" w:customStyle="1">
    <w:name w:val="Captioned Figure"/>
    <w:basedOn w:val="Style15"/>
    <w:qFormat/>
    <w:pPr>
      <w:keepNext w:val="true"/>
    </w:pPr>
    <w:rPr/>
  </w:style>
  <w:style w:type="paragraph" w:styleId="SourceCode" w:customStyle="1">
    <w:name w:val="Source Code"/>
    <w:basedOn w:val="Normal"/>
    <w:link w:val="VerbatimChar"/>
    <w:uiPriority w:val="9"/>
    <w:qFormat/>
    <w:pPr>
      <w:shd w:val="clear" w:color="auto" w:fill="F0F0F0"/>
      <w:spacing w:before="100" w:after="100"/>
      <w:ind w:left="240" w:right="240" w:hanging="0"/>
    </w:pPr>
    <w:rPr>
      <w:rFonts w:ascii="Consolas" w:hAnsi="Consolas"/>
      <w:color w:val="333333"/>
      <w:sz w:val="22"/>
    </w:rPr>
  </w:style>
  <w:style w:type="paragraph" w:styleId="Style16">
    <w:name w:val="Index Heading"/>
    <w:basedOn w:val="Style7"/>
    <w:pPr/>
    <w:rPr/>
  </w:style>
  <w:style w:type="paragraph" w:styleId="Style17">
    <w:name w:val="TOC Heading"/>
    <w:basedOn w:val="1"/>
    <w:next w:val="Style8"/>
    <w:uiPriority w:val="39"/>
    <w:unhideWhenUsed/>
    <w:qFormat/>
    <w:pPr>
      <w:spacing w:lineRule="auto" w:line="259" w:before="240" w:after="80"/>
      <w:outlineLvl w:val="9"/>
    </w:pPr>
    <w:rPr>
      <w:rFonts w:ascii="Aptos Display" w:hAnsi="Aptos Display" w:eastAsia="notosansmonocjksc" w:cs="notosansmonocjksc" w:asciiTheme="majorHAnsi" w:hAnsiTheme="majorHAnsi"/>
      <w:b w:val="false"/>
      <w:bCs w:val="false"/>
      <w:color w:val="365F91" w:themeColor="accent1" w:themeShade="bf"/>
    </w:rPr>
  </w:style>
  <w:style w:type="table" w:default="1" w:styleId="Table">
    <w:name w:val="Table"/>
    <w:basedOn w:val="TableNormal"/>
    <w:unhideWhenUsed/>
    <w:qFormat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55" w:type="dxa"/>
        <w:left w:w="108" w:type="dxa"/>
        <w:bottom w:w="55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000000" w:sz="8" w:space="0"/>
        </w:tcBorders>
        <w:vAlign w:val="bottom"/>
      </w:tcPr>
    </w:tblStylePr>
  </w:style>
  <w:style w:type="table" w:customStyle="1" w:styleId="BorderlessTable">
    <w:name w:val="BorderlessTable"/>
    <w:tblPr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LibreOfficeDev/7.3.1.3.0$Android_AARCH64 LibreOffice_project/</Application>
  <AppVersion>15.0000</AppVersion>
  <Pages>11</Pages>
  <Words>1448</Words>
  <Characters>8604</Characters>
  <CharactersWithSpaces>9859</CharactersWithSpaces>
  <Paragraphs>253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2026-09-27T07:45:46Z</dcterms:created>
  <dc:creator/>
  <dc:description/>
  <dc:language>zh-CN</dc:language>
  <cp:lastModifiedBy/>
  <dcterms:modified xsi:type="dcterms:W3CDTF">2026-09-27T15:46:23Z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ContentPropagator":"001191440101MA9Y9T4H7A00000","Label":"1","ReservedCode1":"5dGUq89rn0KEG45aDBKpkHKFrdpaH4HUIVhO1HIXXGY=","ProduceID":"doc_sgs:10212ee8-9119-4aab-b6a9-1518dd92febc","ReservedCode2":"5dGUq89rn0KEG45aDBKpkHKFrdpaH4HUIVhO1HIXXGY=","PropagateID":"doc_sgs:10212ee8-9119-4aab-b6a9-1518dd92febc","ContentProducer":"001191440101MA9Y9T4H7A00000"}</vt:lpwstr>
  </property>
</Properties>
</file>