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Title"/>
      </w:pPr>
      <w:r>
        <w:t xml:space="preserve">和豆包的对话_1015</w:t>
      </w:r>
    </w:p>
    <w:p>
      <w:pPr>
        <w:pStyle w:val="Heading3"/>
      </w:pPr>
      <w:r>
        <w:t xml:space="preserve">一、对我国早期教育有重要贡献的大教育家及核心思想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孔子（春秋）</w:t>
      </w:r>
      <w:r>
        <w:t xml:space="preserve">：儒家学派创始人，被尊为“至圣先师”。核心思想包括**“有教无类”</w:t>
      </w:r>
      <w:r>
        <w:rPr>
          <w:b/>
          <w:bCs/>
        </w:rPr>
        <w:t xml:space="preserve">（打破贵族教育垄断，让平民子弟可受教育）、</w:t>
      </w:r>
      <w:r>
        <w:t xml:space="preserve">“因材施教”**（根据学生资质差异调整教学方法），还提出“温故而知新”“学思结合”等教学原则，构建了早期私学教育体系。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墨子（战国）</w:t>
      </w:r>
      <w:r>
        <w:t xml:space="preserve">：墨家学派创始人，主张**“兼爱”“非攻”** 为教育核心，强调教育平等——无论出身贵贱、地域远近，都应享有受教育权。教学内容突破“六艺”，融入实用技能（如手工、军事防御）和逻辑思维，是早期“文理融合”教育的雏形。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荀子（战国）</w:t>
      </w:r>
      <w:r>
        <w:t xml:space="preserve">：儒家思想的重要传承者，提出**“化性起伪”**（通过教育改变人先天的“恶”性），主张教育需“礼法结合”——既教道德礼仪，也讲社会规范。他首次系统论述“教师”的重要性，认为教师是“国之瑰宝”，需严格选拔。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朱熹（宋，承接先秦儒家）</w:t>
      </w:r>
      <w:r>
        <w:t xml:space="preserve">：虽非先秦，但深化了早期教育理念。提出**“格物致知”**（通过观察事物探究真理），主张教育分阶段：小学阶段教“洒扫应对进退”（生活礼仪），大学阶段教“穷理正心”（道德与学术），构建了“生活教育与学术教育融合”的框架。</w:t>
      </w:r>
    </w:p>
    <w:p>
      <w:pPr>
        <w:pStyle w:val="Heading3"/>
      </w:pPr>
      <w:r>
        <w:t xml:space="preserve">二、包含“融合教育理念”的核心思想</w:t>
      </w:r>
    </w:p>
    <w:p>
      <w:pPr>
        <w:pStyle w:val="text"/>
      </w:pPr>
      <w:r>
        <w:t xml:space="preserve">古代虽无“融合教育”术语，但思想中已蕴含“兼顾差异、整合内容、连接生活”的内核：</w:t>
      </w:r>
    </w:p>
    <w:p>
      <w:pPr>
        <w:pStyle w:val="text"/>
        <w:numPr>
          <w:ilvl w:val="0"/>
          <w:numId w:val="3"/>
        </w:numPr>
      </w:pPr>
      <w:r>
        <w:rPr>
          <w:b/>
          <w:bCs/>
        </w:rPr>
        <w:t xml:space="preserve">教育对象融合</w:t>
      </w:r>
      <w:r>
        <w:t xml:space="preserve">：孔子“有教无类”、墨子“兼爱教育”，打破阶层、身份壁垒，本质是“融合不同群体的教育权利”，与现代融合教育“接纳特殊需求学生”的平等内核相通。</w:t>
      </w:r>
    </w:p>
    <w:p>
      <w:pPr>
        <w:pStyle w:val="text"/>
        <w:numPr>
          <w:ilvl w:val="0"/>
          <w:numId w:val="3"/>
        </w:numPr>
      </w:pPr>
      <w:r>
        <w:rPr>
          <w:b/>
          <w:bCs/>
        </w:rPr>
        <w:t xml:space="preserve">教育内容融合</w:t>
      </w:r>
      <w:r>
        <w:t xml:space="preserve">：孔子以“礼、乐、射、御、书、数”（六艺）为教学内容，融合道德、艺术、体育、实用技能；墨子加入手工、逻辑，实现“品德+技能+思维”的多元融合，类似现代“全人教育”。</w:t>
      </w:r>
    </w:p>
    <w:p>
      <w:pPr>
        <w:pStyle w:val="text"/>
        <w:numPr>
          <w:ilvl w:val="0"/>
          <w:numId w:val="3"/>
        </w:numPr>
      </w:pPr>
      <w:r>
        <w:rPr>
          <w:b/>
          <w:bCs/>
        </w:rPr>
        <w:t xml:space="preserve">教育与生活融合</w:t>
      </w:r>
      <w:r>
        <w:t xml:space="preserve">：朱熹主张“小学教生活礼仪”，孔子强调“学以致用”（如学“礼”需在祭祀、交往中实践），均体现“教育不脱离生活”，与现代“生活化教育”理念一致。</w:t>
      </w:r>
    </w:p>
    <w:p>
      <w:pPr>
        <w:pStyle w:val="Heading3"/>
      </w:pPr>
      <w:r>
        <w:t xml:space="preserve">三、对现代教育的启蒙作用与核心价值指导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启蒙作用</w:t>
      </w:r>
      <w:r>
        <w:t xml:space="preserve">：古代思想奠定了现代教育的“底层逻辑”——从孔子“有教无类”启蒙</w:t>
      </w:r>
      <w:r>
        <w:rPr>
          <w:b/>
          <w:bCs/>
        </w:rPr>
        <w:t xml:space="preserve">教育公平</w:t>
      </w:r>
      <w:r>
        <w:t xml:space="preserve">（如现代义务教育均衡发展）；从墨子“实用技能教学”启蒙</w:t>
      </w:r>
      <w:r>
        <w:rPr>
          <w:b/>
          <w:bCs/>
        </w:rPr>
        <w:t xml:space="preserve">职业教育与普通教育融合</w:t>
      </w:r>
      <w:r>
        <w:t xml:space="preserve">；从“学思结合”启蒙</w:t>
      </w:r>
      <w:r>
        <w:rPr>
          <w:b/>
          <w:bCs/>
        </w:rPr>
        <w:t xml:space="preserve">探究式学习</w:t>
      </w:r>
      <w:r>
        <w:t xml:space="preserve">（如现代课堂的小组讨论、实验探究）。</w:t>
      </w:r>
    </w:p>
    <w:p>
      <w:pPr>
        <w:pStyle w:val="text"/>
        <w:numPr>
          <w:ilvl w:val="0"/>
          <w:numId w:val="2"/>
        </w:numPr>
      </w:pPr>
      <w:r>
        <w:rPr>
          <w:b/>
          <w:bCs/>
        </w:rPr>
        <w:t xml:space="preserve">核心价值指导</w:t>
      </w:r>
      <w:r>
        <w:t xml:space="preserve">：</w:t>
      </w:r>
    </w:p>
    <w:p>
      <w:pPr>
        <w:pStyle w:val="text"/>
        <w:numPr>
          <w:ilvl w:val="1"/>
          <w:numId w:val="3"/>
        </w:numPr>
      </w:pPr>
      <w:r>
        <w:rPr>
          <w:b/>
          <w:bCs/>
        </w:rPr>
        <w:t xml:space="preserve">教育公平是根基</w:t>
      </w:r>
      <w:r>
        <w:t xml:space="preserve">：孔子、墨子的平等思想，仍是现代教育的核心追求——无论是“义务教育免试就近入学”，还是“特殊教育融合进校园”，本质都是对“无差别教育权”的延续。</w:t>
      </w:r>
    </w:p>
    <w:p>
      <w:pPr>
        <w:pStyle w:val="text"/>
        <w:numPr>
          <w:ilvl w:val="1"/>
          <w:numId w:val="3"/>
        </w:numPr>
      </w:pPr>
      <w:r>
        <w:rPr>
          <w:b/>
          <w:bCs/>
        </w:rPr>
        <w:t xml:space="preserve">全人教育是目标</w:t>
      </w:r>
      <w:r>
        <w:t xml:space="preserve">：古代“六艺”“德技兼修”的理念，指导现代教育跳出“唯分数论”，转向“德智体美劳五育融合”，培养全面发展的人。</w:t>
      </w:r>
    </w:p>
    <w:p>
      <w:pPr>
        <w:pStyle w:val="text"/>
        <w:numPr>
          <w:ilvl w:val="1"/>
          <w:numId w:val="3"/>
        </w:numPr>
      </w:pPr>
      <w:r>
        <w:rPr>
          <w:b/>
          <w:bCs/>
        </w:rPr>
        <w:t xml:space="preserve">德育优先是灵魂</w:t>
      </w:r>
      <w:r>
        <w:t xml:space="preserve">：孔子“仁者爱人”、荀子“礼法育人”，对应现代教育“立德树人”的根本任务——无论教学内容如何创新，道德素养仍是教育的核心底色。</w:t>
      </w:r>
    </w:p>
    <w:p>
      <w:pPr>
        <w:pStyle w:val="text"/>
      </w:pPr>
      <w:r>
        <w:t xml:space="preserve">需要我具体梳理某一位教育家的思想在现代学校中的实践案例吗？比如结合孔子“因材施教”，分析当前课堂分层教学的具体做法。</w:t>
      </w:r>
    </w:p>
    <w:p>
      <w:pPr>
        <w:pStyle w:val="text"/>
      </w:pPr>
      <w:r>
        <w:t xml:space="preserve">(豆包AI生成)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decimal"/>
      <w:lvlText w:val="%1."/>
      <w:lvlJc w:val="start"/>
      <w:pPr>
        <w:ind w:left="288" w:hanging="288"/>
      </w:pPr>
      <w:rPr>
        <w:color w:val="3370FF"/>
        <w:sz w:val="22"/>
        <w:szCs w:val="22"/>
      </w:rPr>
    </w:lvl>
    <w:lvl w:ilvl="1" w15:tentative="1">
      <w:start w:val="1"/>
      <w:numFmt w:val="lowerLetter"/>
      <w:lvlText w:val="%2."/>
      <w:lvlJc w:val="start"/>
      <w:pPr>
        <w:ind w:left="720" w:hanging="288"/>
      </w:pPr>
      <w:rPr>
        <w:color w:val="3370FF"/>
        <w:sz w:val="22"/>
        <w:szCs w:val="22"/>
      </w:rPr>
    </w:lvl>
    <w:lvl w:ilvl="2" w15:tentative="1">
      <w:start w:val="1"/>
      <w:numFmt w:val="lowerRoman"/>
      <w:lvlText w:val="%3."/>
      <w:lvlJc w:val="start"/>
      <w:pPr>
        <w:ind w:left="1152" w:hanging="288"/>
      </w:pPr>
      <w:rPr>
        <w:color w:val="3370FF"/>
        <w:sz w:val="22"/>
        <w:szCs w:val="22"/>
      </w:r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•"/>
      <w:lvlJc w:val="start"/>
      <w:pPr>
        <w:ind w:left="288" w:hanging="288"/>
      </w:pPr>
      <w:rPr>
        <w:color w:val="3370FF"/>
        <w:sz w:val="22"/>
        <w:szCs w:val="22"/>
      </w:rPr>
    </w:lvl>
    <w:lvl w:ilvl="1" w15:tentative="1">
      <w:start w:val="1"/>
      <w:numFmt w:val="bullet"/>
      <w:lvlText w:val="◦"/>
      <w:lvlJc w:val="start"/>
      <w:pPr>
        <w:ind w:left="720" w:hanging="288"/>
      </w:pPr>
      <w:rPr>
        <w:color w:val="3370FF"/>
        <w:sz w:val="22"/>
        <w:szCs w:val="22"/>
      </w:rPr>
    </w:lvl>
    <w:lvl w:ilvl="2" w15:tentative="1">
      <w:start w:val="1"/>
      <w:numFmt w:val="bullet"/>
      <w:lvlText w:val="▪"/>
      <w:lvlJc w:val="start"/>
      <w:pPr>
        <w:ind w:left="1152" w:hanging="288"/>
      </w:pPr>
      <w:rPr>
        <w:color w:val="3370FF"/>
        <w:sz w:val="22"/>
        <w:szCs w:val="22"/>
      </w:rPr>
    </w:lvl>
  </w:abstractNum>
  <w:abstractNum w:abstractNumId="4" w15:restartNumberingAfterBreak="0">
    <w:multiLevelType w:val="hybridMultilevel"/>
    <w:lvl w:ilvl="0" w15:tentative="1">
      <w:start w:val="1"/>
      <w:numFmt w:val="custom"/>
      <w:lvlText w:val="☐"/>
      <w:lvlJc w:val="start"/>
      <w:pPr>
        <w:ind w:left="288" w:hanging="288"/>
      </w:pPr>
    </w:lvl>
    <w:lvl w:ilvl="1" w15:tentative="1">
      <w:start w:val="1"/>
      <w:numFmt w:val="custom"/>
      <w:lvlText w:val="☐"/>
      <w:lvlJc w:val="start"/>
      <w:pPr>
        <w:ind w:left="720" w:hanging="288"/>
      </w:pPr>
    </w:lvl>
    <w:lvl w:ilvl="2" w15:tentative="1">
      <w:start w:val="1"/>
      <w:numFmt w:val="custom"/>
      <w:lvlText w:val="☐"/>
      <w:lvlJc w:val="start"/>
      <w:pPr>
        <w:ind w:left="1152" w:hanging="288"/>
      </w:pPr>
    </w:lvl>
  </w:abstractNum>
  <w:abstractNum w:abstractNumId="5" w15:restartNumberingAfterBreak="0">
    <w:multiLevelType w:val="hybridMultilevel"/>
    <w:lvl w:ilvl="0" w15:tentative="1">
      <w:start w:val="1"/>
      <w:numFmt w:val="custom"/>
      <w:lvlText w:val="☑"/>
      <w:lvlJc w:val="start"/>
      <w:pPr>
        <w:ind w:left="288" w:hanging="288"/>
      </w:pPr>
    </w:lvl>
    <w:lvl w:ilvl="1" w15:tentative="1">
      <w:start w:val="1"/>
      <w:numFmt w:val="custom"/>
      <w:lvlText w:val="☑"/>
      <w:lvlJc w:val="start"/>
      <w:pPr>
        <w:ind w:left="720" w:hanging="288"/>
      </w:pPr>
    </w:lvl>
    <w:lvl w:ilvl="2" w15:tentative="1">
      <w:start w:val="1"/>
      <w:numFmt w:val="custom"/>
      <w:lvlText w:val="☑"/>
      <w:lvlJc w:val="start"/>
      <w:pPr>
        <w:ind w:left="1152" w:hanging="288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pPr>
      <w:spacing w:before="480" w:after="480" w:line="288" w:lineRule="auto"/>
      <w:ind w:left="0"/>
    </w:pPr>
    <w:rPr>
      <w:b/>
      <w:bCs/>
      <w:sz w:val="52"/>
      <w:szCs w:val="52"/>
      <w:rFonts w:ascii="Arial" w:hAnsi="Arial" w:eastAsia="等线" w:cs="Arial"/>
    </w:rPr>
  </w:style>
  <w:style w:type="paragraph" w:styleId="Heading1">
    <w:name w:val="Heading 1"/>
    <w:basedOn w:val="Normal"/>
    <w:next w:val="Normal"/>
    <w:qFormat/>
    <w:pPr>
      <w:spacing w:before="380" w:after="140" w:line="288" w:lineRule="auto"/>
      <w:ind w:left="0"/>
      <w:jc w:val="left"/>
      <w:outlineLvl w:val="0"/>
    </w:pPr>
    <w:rPr>
      <w:b/>
      <w:bCs/>
      <w:sz w:val="36"/>
      <w:szCs w:val="36"/>
      <w:rFonts w:ascii="Arial" w:hAnsi="Arial" w:eastAsia="等线" w:cs="Arial"/>
    </w:rPr>
  </w:style>
  <w:style w:type="paragraph" w:styleId="Heading2">
    <w:name w:val="Heading 2"/>
    <w:basedOn w:val="Normal"/>
    <w:next w:val="Normal"/>
    <w:qFormat/>
    <w:pPr>
      <w:spacing w:before="320" w:after="120" w:line="288" w:lineRule="auto"/>
      <w:ind w:left="0"/>
      <w:jc w:val="left"/>
      <w:outlineLvl w:val="1"/>
    </w:pPr>
    <w:rPr>
      <w:b/>
      <w:bCs/>
      <w:sz w:val="32"/>
      <w:szCs w:val="32"/>
      <w:rFonts w:ascii="Arial" w:hAnsi="Arial" w:eastAsia="等线" w:cs="Arial"/>
    </w:rPr>
  </w:style>
  <w:style w:type="paragraph" w:styleId="Heading3">
    <w:name w:val="Heading 3"/>
    <w:basedOn w:val="Normal"/>
    <w:next w:val="Normal"/>
    <w:qFormat/>
    <w:pPr>
      <w:spacing w:before="300" w:after="120" w:line="288" w:lineRule="auto"/>
      <w:ind w:left="0"/>
      <w:jc w:val="left"/>
      <w:outlineLvl w:val="2"/>
    </w:pPr>
    <w:rPr>
      <w:b/>
      <w:bCs/>
      <w:sz w:val="30"/>
      <w:szCs w:val="30"/>
      <w:rFonts w:ascii="Arial" w:hAnsi="Arial" w:eastAsia="等线" w:cs="Arial"/>
    </w:rPr>
  </w:style>
  <w:style w:type="paragraph" w:styleId="Heading4">
    <w:name w:val="Heading 4"/>
    <w:basedOn w:val="Normal"/>
    <w:next w:val="Normal"/>
    <w:qFormat/>
    <w:pPr>
      <w:spacing w:before="260" w:after="120" w:line="288" w:lineRule="auto"/>
      <w:ind w:left="0"/>
      <w:jc w:val="left"/>
      <w:outlineLvl w:val="3"/>
    </w:pPr>
    <w:rPr>
      <w:b/>
      <w:bCs/>
      <w:sz w:val="28"/>
      <w:szCs w:val="28"/>
      <w:rFonts w:ascii="Arial" w:hAnsi="Arial" w:eastAsia="等线" w:cs="Arial"/>
    </w:rPr>
  </w:style>
  <w:style w:type="paragraph" w:styleId="Heading5">
    <w:name w:val="Heading 5"/>
    <w:basedOn w:val="Normal"/>
    <w:next w:val="Normal"/>
    <w:qFormat/>
    <w:pPr>
      <w:spacing w:before="240" w:after="120" w:line="288" w:lineRule="auto"/>
      <w:ind w:left="0"/>
      <w:jc w:val="left"/>
      <w:outlineLvl w:val="4"/>
    </w:pPr>
    <w:rPr>
      <w:b/>
      <w:bCs/>
      <w:sz w:val="24"/>
      <w:szCs w:val="24"/>
      <w:rFonts w:ascii="Arial" w:hAnsi="Arial" w:eastAsia="等线" w:cs="Arial"/>
    </w:rPr>
  </w:style>
  <w:style w:type="paragraph" w:styleId="Heading6">
    <w:name w:val="Heading 6"/>
    <w:basedOn w:val="Normal"/>
    <w:next w:val="Normal"/>
    <w:qFormat/>
    <w:pPr>
      <w:spacing w:before="240" w:after="120" w:line="288" w:lineRule="auto"/>
      <w:ind w:left="0"/>
      <w:jc w:val="left"/>
      <w:outlineLvl w:val="5"/>
    </w:pPr>
    <w:rPr>
      <w:b/>
      <w:bCs/>
      <w:sz w:val="24"/>
      <w:szCs w:val="24"/>
      <w:rFonts w:ascii="Arial" w:hAnsi="Arial" w:eastAsia="等线" w:cs="Arial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text">
    <w:pPr>
      <w:spacing w:before="120" w:after="120" w:line="288" w:lineRule="auto"/>
      <w:ind w:left="0"/>
      <w:jc w:val="left"/>
    </w:pPr>
    <w:rPr>
      <w:sz w:val="22"/>
      <w:szCs w:val="22"/>
      <w:rFonts w:ascii="Arial" w:hAnsi="Arial" w:eastAsia="等线" w:cs="Arial"/>
    </w:rPr>
  </w:style>
  <w:style w:type="paragraph" w:styleId="blockquote">
    <w:pPr>
      <w:spacing w:before="120" w:after="120" w:line="288" w:lineRule="auto"/>
      <w:ind w:left="0"/>
      <w:jc w:val="left"/>
    </w:pPr>
    <w:rPr>
      <w:color w:val="8F959E"/>
      <w:sz w:val="22"/>
      <w:szCs w:val="22"/>
      <w:rFonts w:ascii="Arial" w:hAnsi="Arial" w:eastAsia="等线" w:cs="Arial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2025-10-14T22:44:07.136Z</dcterms:created>
  <dcterms:modified xsi:type="dcterms:W3CDTF">2025-10-14T22:44:07.141Z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