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Noto Sans SC" w:cs="Times New Roman"/>
        </w:rPr>
        <w:t>上海与吉隆坡大都市区特殊职业教育—就业转衔比较研究</w:t>
      </w:r>
    </w:p>
    <w:p>
      <w:pPr>
        <w:pStyle w:val="Subtitle"/>
      </w:pPr>
      <w:r>
        <w:rPr>
          <w:rFonts w:ascii="Times New Roman" w:hAnsi="Times New Roman" w:eastAsia="Noto Sans SC" w:cs="Times New Roman"/>
        </w:rPr>
        <w:t>——基于学校课程、技能证书、实习实践与持续就业支持的多维分析</w:t>
        <w:br/>
        <w:t>（作者信息）</w:t>
        <w:br/>
        <w:t>中国·特教专业硕士研究生</w:t>
        <w:br/>
        <w:t>E-mail: （请补充）</w:t>
      </w:r>
    </w:p>
    <w:p>
      <w:pPr/>
      <w:r>
        <w:rPr>
          <w:rFonts w:ascii="Times New Roman" w:hAnsi="Times New Roman" w:eastAsia="Noto Serif SC" w:cs="Times New Roman"/>
        </w:rPr>
        <w:t>摘要：特殊职业教育的最终目标并非仅完成校内技能训练，而是实现从学校到真实岗位、再从入职到持续在岗的稳定转衔。本文以上海市奉贤中等专业学校特教班为上海样本，以吉隆坡市内及巴生谷周边的特殊职业教育与残障就业服务体系为对照样本，系统比较两地在政策框架、培养路径、课程与证书、实习实训、Job Coach与持续支持、就业结果及限制方面的异同。研究显示：上海形成以区属特教中职点、四年制专业课程、校内实训—校外岗位认知—实习转衔为主的封闭式学校体系，课程个别化与融合度较高，但企业实习资源、统一技能等级证书与第三方就业教练机制仍显不足；吉隆坡大都市区形成教育部SMPKV技能证书、福利局Job Coach、庇护工坊、NGO职业准备与企业支持性就业并行的多部门体系，岗位匹配与持续支持制度更外显，但不同机构间数据、证书与留任追踪并不统一。两地经验对文莱等新兴特教职教体系的可借鉴路径是：建立“个别化职业评估—任务分析—技能证书/微证书—企业实习—Job Coach持续跟进—6/12个月留任评估”的闭环。</w:t>
        <w:br/>
        <w:t>关键词：特殊职业教育；就业转衔；Job Coach；支持性就业；上海奉贤；吉隆坡；SMPKV；持续在岗</w:t>
      </w:r>
    </w:p>
    <w:p>
      <w:pPr/>
      <w:r>
        <w:rPr>
          <w:rFonts w:ascii="Times New Roman" w:hAnsi="Times New Roman" w:eastAsia="Noto Serif SC" w:cs="Times New Roman"/>
        </w:rPr>
        <w:t>Abstract: The ultimate goal of special vocational education is not merely the completion of on-campus skills training, but the stable transition from school to real workplaces and from entry to sustained employment. Taking the special education class of Shanghai Fengxian Secondary Vocational School as the Shanghai case and the special vocational education and disability employment support systems within Kuala Lumpur city and the Greater Klang Valley as the comparative case, this study compares the two cities across policy frameworks, training pathways, curricula and certification, internship and practicum, Job Coach and ongoing support, employment outcomes, and their respective limitations. The findings suggest that Shanghai has formed a school-centered system characterized by district-based special vocational schools, a four-year specialized curriculum, and a progression from on-campus training to off-campus job exposure and internship transition, with relatively high levels of individualization and integration, yet enterprise internship resources, unified vocational qualification frameworks, and third-party employment coaching mechanisms remain insufficient. In contrast, the Greater Klang Valley has developed a multi-agency system integrating Ministry of Education SMPKV skills certification, Social Welfare Department Job Coach services, sheltered workshops, NGO vocational preparation, and employer-supported employment, making job matching and ongoing support more explicit, while data, certification, and retention tracking across institutions remain inconsistent. The implications for emerging systems such as Brunei are to establish a closed loop of “individualized vocational assessment – task analysis – skills certification/micro-credentials – enterprise internship – sustained Job Coach follow-up – 6/12-month retention evaluation.”</w:t>
        <w:br/>
        <w:t>Keywords: special vocational education; transition to employment; Job Coach; supported employment; Shanghai Fengxian; Kuala Lumpur; SMPKV; sustained employment</w:t>
      </w:r>
    </w:p>
    <w:p>
      <w:pPr>
        <w:pStyle w:val="Heading1"/>
      </w:pPr>
      <w:r>
        <w:rPr>
          <w:rFonts w:ascii="Times New Roman" w:hAnsi="Times New Roman" w:eastAsia="Noto Sans SC" w:cs="Times New Roman"/>
        </w:rPr>
        <w:t>1 引言</w:t>
      </w:r>
    </w:p>
    <w:p>
      <w:pPr/>
      <w:r>
        <w:rPr>
          <w:rFonts w:ascii="Times New Roman" w:hAnsi="Times New Roman" w:eastAsia="Noto Serif SC" w:cs="Times New Roman"/>
        </w:rPr>
        <w:t>特殊需要学生接受高中阶段职业教育后，能否进入劳动力市场并稳定就业，取决于四类变量的耦合：一是政策与办学定位，二是课程与技能认证，三是实习与岗位认知，四是入职后持续支持。智力障碍、自闭症、学习障碍与肢体障碍群体在任务执行、社会沟通、感官调节与通勤安全方面存在差异，因此“会做某项技能”并不必然等于“能在真实岗位持续就业”。国际研究将影响留任的因素归纳为个体作业技能与软技能、职场合理便利、主管与同事自然支持、Job Coach或就业专员持续跟进、家庭与福利激励，以及宏观证书与配额政策（Carlson et al., 2020; Al-Kindi, 2026）。</w:t>
      </w:r>
    </w:p>
    <w:p>
      <w:pPr/>
      <w:r>
        <w:rPr>
          <w:rFonts w:ascii="Times New Roman" w:hAnsi="Times New Roman" w:eastAsia="Noto Serif SC" w:cs="Times New Roman"/>
        </w:rPr>
        <w:t>近年来，东亚与东南亚多个城市开始重视特殊学生的高中阶段职业教育与转衔服务，但发展路径并不相同。上海以区属特教中职点与统一课程方案为基础，逐步形成以校内实训和集中实习为核心的学校主导模式；吉隆坡及其所在的大都市区则因联邦制与多部门分工，形成教育部、社会福利局、妇女家庭及社会发展部、NGO与企业基金会并行的支持网络。本文将比较单位界定为“城市特殊职业教育—就业支持系统”，不把两地简单等同为两套完全同构的行政体系。为避免行政边界混淆，下文将“吉隆坡”严格限定为联邦直辖区机构，将莎阿南、巴生、Bangi等归入“吉隆坡大都市区/巴生谷”，仅作为通勤与政策参照系统。</w:t>
      </w:r>
    </w:p>
    <w:p>
      <w:pPr/>
      <w:r>
        <w:rPr>
          <w:rFonts w:ascii="Times New Roman" w:hAnsi="Times New Roman" w:eastAsia="Noto Serif SC" w:cs="Times New Roman"/>
        </w:rPr>
        <w:t>本文以中国上海市奉贤中等专业学校特教班为主要上海样本，重点考察其中餐烹饪专业、“心源小舍”咖啡实训、立交桥单科项目及校外跟岗实践；以马来西亚吉隆坡市内及大都市区的主要机构为对照，重点考察SMPKV Shah Alam、Wisma Harapan Brickfields、Bengkel Daya Klang与PLPP Bangi，并结合JKM Job Coach制度与企业支持性就业案例。研究目的在于客观梳理两地“教育—技能—就业”链条的结构、资源与限制，为文莱等新兴特教职教体系的制度设计提供参考。</w:t>
      </w:r>
    </w:p>
    <w:p>
      <w:pPr>
        <w:pStyle w:val="Heading1"/>
      </w:pPr>
      <w:r>
        <w:rPr>
          <w:rFonts w:ascii="Times New Roman" w:hAnsi="Times New Roman" w:eastAsia="Noto Sans SC" w:cs="Times New Roman"/>
        </w:rPr>
        <w:t>2 政策框架与制度定位</w:t>
      </w:r>
    </w:p>
    <w:p>
      <w:pPr>
        <w:pStyle w:val="Heading2"/>
      </w:pPr>
      <w:r>
        <w:rPr>
          <w:rFonts w:ascii="Times New Roman" w:hAnsi="Times New Roman" w:eastAsia="Noto Sans SC" w:cs="Times New Roman"/>
        </w:rPr>
        <w:t>2.1 上海：区级特教中职点＋全市课程方案</w:t>
      </w:r>
    </w:p>
    <w:p>
      <w:pPr/>
      <w:r>
        <w:rPr>
          <w:rFonts w:ascii="Times New Roman" w:hAnsi="Times New Roman" w:eastAsia="Noto Serif SC" w:cs="Times New Roman"/>
        </w:rPr>
        <w:t>2017年上海市教育委员会与上海市残疾人联合会发布《关于加强特殊职业教育管理的实施意见》，要求每区至少设立1个区属特殊中等职业教育办学点，服务具有入学需要的智力障碍、自闭症、脑瘫等残疾学生；地域广、人数多的区可增加点，同时扩大市聋哑青年技术学校、市盲童学校等市属特教中职功能（Shanghai Municipal Education Commission &amp; Shanghai Disabled Persons’ Federation, 2017）。2018年上海市教育委员会印发《上海市特殊中等职业教育学校（班）课程方案（试行稿）》，明确适用对象为智力残疾、自闭症、脑瘫等，课程分为公共基础、专业职业、康复三类，要求制定个别化教育计划，保证见习、实习和实训时间，评价以个别化职业发展追踪为导向（Shanghai Municipal Education Commission, 2018）。2024年市教委在政协答复中进一步重申：各特教校按国家课程开生活适应与劳动技能，各区提供生涯指导和转衔服务，特教中职重点通过职业道德与法律、职业生涯规划及专业课程提升就业适应能力（Shanghai Municipal Education Commission, 2024）。</w:t>
      </w:r>
    </w:p>
    <w:p>
      <w:pPr/>
      <w:r>
        <w:rPr>
          <w:rFonts w:ascii="Times New Roman" w:hAnsi="Times New Roman" w:eastAsia="Noto Serif SC" w:cs="Times New Roman"/>
        </w:rPr>
        <w:t>由此，上海模式的特征是“市级出方案、区级设办学点、学校定IEP、实习转衔进企业”。其优势在于特殊学生可就近入读、课程统一规范；限制在于企业实习仍以学校主动开发为主，接收智力、自闭、脑瘫学生的普通企业供给不足。</w:t>
      </w:r>
    </w:p>
    <w:p>
      <w:pPr>
        <w:pStyle w:val="Heading2"/>
      </w:pPr>
      <w:r>
        <w:rPr>
          <w:rFonts w:ascii="Times New Roman" w:hAnsi="Times New Roman" w:eastAsia="Noto Sans SC" w:cs="Times New Roman"/>
        </w:rPr>
        <w:t>2.2 吉隆坡大都市区：多部门分工与开放就业支持</w:t>
      </w:r>
    </w:p>
    <w:p>
      <w:pPr/>
      <w:r>
        <w:rPr>
          <w:rFonts w:ascii="Times New Roman" w:hAnsi="Times New Roman" w:eastAsia="Noto Serif SC" w:cs="Times New Roman"/>
        </w:rPr>
        <w:t>马来西亚联邦层面，教育部通过特殊教育部办SMPKV，为学习障碍等特殊教育需要学生提供技能课程；社会福利局（Jabatan Kebajikan Masyarakat, JKM）通过Job Coach、县福利办公室、PLPP、PPDK提供残障成人就业评估与持续支持；妇女、家庭及社会发展部（Kementerian Pembangan Wanita, Keluarga dan Masyarakat, KPWKM）通过Bengkel Daya等提供庇护性工作坊；NGO与企业基金会补充自闭症与发育障碍群体的职业准备。该分工并非“吉隆坡市属统一特教局”模式，而是按服务对象与服务阶段切分。</w:t>
      </w:r>
    </w:p>
    <w:p>
      <w:pPr/>
      <w:r>
        <w:rPr>
          <w:rFonts w:ascii="Times New Roman" w:hAnsi="Times New Roman" w:eastAsia="Noto Serif SC" w:cs="Times New Roman"/>
        </w:rPr>
        <w:t>教育部2017年报显示，全国设SMPKV四所，分别位于Shah Alam、Kuantan、Indahpura、Merbok，提供25门SKM一级至三级课程；2017年相关上中等教育学生785人，参加JPK最终技能评估218人，其中一级67人、二级95人、三级49人（Malaysia Ministry of Education, 2017）。该数据说明国家层面已把特殊职教纳入TVET技能认证，但四校并非都在吉隆坡，离吉隆坡联邦直辖区最近、常被纳入大都市区样本的是SMPKV Shah Alam。</w:t>
      </w:r>
    </w:p>
    <w:p>
      <w:pPr/>
      <w:r>
        <w:rPr>
          <w:rFonts w:ascii="Times New Roman" w:hAnsi="Times New Roman" w:eastAsia="Noto Serif SC" w:cs="Times New Roman"/>
        </w:rPr>
        <w:t>JKM Job Coach制度面向所有注册OKU（Orang Kurang Upaya，残障人士），职责包括评估残障者、评估职场、岗位匹配、在岗密集支持、建立同事自然支持、后续跟进；雇主通过Job Coach Network可申请服务，相关支持有津贴机制（Yusop, n.d.; Jabatan Kebajikan Masyarakat, n.d.）。这一机制把“学校毕业后”的就业支持外部化，与上海以学校教师、实习基地老师为主的支持结构形成对照。</w:t>
      </w:r>
    </w:p>
    <w:p>
      <w:pPr>
        <w:pStyle w:val="Heading1"/>
      </w:pPr>
      <w:r>
        <w:rPr>
          <w:rFonts w:ascii="Times New Roman" w:hAnsi="Times New Roman" w:eastAsia="Noto Sans SC" w:cs="Times New Roman"/>
        </w:rPr>
        <w:t>3 学校课程、培养路径与技能证书</w:t>
      </w:r>
    </w:p>
    <w:p>
      <w:pPr>
        <w:pStyle w:val="Heading2"/>
      </w:pPr>
      <w:r>
        <w:rPr>
          <w:rFonts w:ascii="Times New Roman" w:hAnsi="Times New Roman" w:eastAsia="Noto Sans SC" w:cs="Times New Roman"/>
        </w:rPr>
        <w:t>3.1 上海奉贤中专特教班：四年烹饪为主，校内—校外双层实训</w:t>
      </w:r>
    </w:p>
    <w:p>
      <w:pPr/>
      <w:r>
        <w:rPr>
          <w:rFonts w:ascii="Times New Roman" w:hAnsi="Times New Roman" w:eastAsia="Noto Serif SC" w:cs="Times New Roman"/>
        </w:rPr>
        <w:t>奉贤区2017年9月先在上海工商职业技术学校办首个特教中职班，2020年1月整体转入上海市奉贤中等专业学校，定名特教中职班；开设“中餐烹饪与营养膳食”四年制专业，2021年在读53人（Eastday Education, 2021）。课程外部框架遵循上海特教中职课程方案：公共基础含职业道德与法律、职业生涯规划；专业课程以烹饪为核心，辅以面点、家政、沟通、保洁等；康复与个别化支持用于补偿功能、提升自我服务与社会适应能力（Shanghai Municipal Education Commission, 2018; Shanghai Fengxian Secondary Vocational School, 2026a）。</w:t>
      </w:r>
    </w:p>
    <w:p>
      <w:pPr/>
      <w:r>
        <w:rPr>
          <w:rFonts w:ascii="Times New Roman" w:hAnsi="Times New Roman" w:eastAsia="Noto Serif SC" w:cs="Times New Roman"/>
        </w:rPr>
        <w:t>其实践体系可分三层。第一层为校内专业实训：烹饪实训教室开展中餐、西点、面点；2026年惠敏学校九年级职业体验项目中，奉贤中专向家长与学生演示土豆饼、木糠杯等面点烘焙，并在心源小舍设咨询（Shanghai Fengxian Secondary Vocational School, 2026b）。第二层为校内融合岗位认知：“心源小舍”咖啡基地自2021年前后运行，特教班学生与酒店专业普通学生共同上课，做咖啡冲泡、顾客服务、岗位认知；部分学生此后进入校外咖啡店做暑期兼职（Fengxian Secondary Vocational School, 2021; Tencent News, 2023）。该模式的价值不在于“教会喝咖啡”，而在于把点单、清洁、冲泡、金钱交互、顾客回应整合为可观察任务链。第三层为立交桥单科补充：2026年春学期针对长宁、浦东、奉贤、徐汇等特教院校需求，开家庭保洁实务、沟通与礼仪、家政服务与管理，以及中西式面点、家居事务管理、食品营养与卫生等单科，用于已在读或已毕业特殊学生的终身学习（Shanghai Fengxian Secondary Vocational School, 2026a）。该层不等同于学历专业，但可补足烹饪之外的家政、面点、营养与沟通模块。</w:t>
      </w:r>
    </w:p>
    <w:p>
      <w:pPr/>
      <w:r>
        <w:rPr>
          <w:rFonts w:ascii="Times New Roman" w:hAnsi="Times New Roman" w:eastAsia="Noto Serif SC" w:cs="Times New Roman"/>
        </w:rPr>
        <w:t>奉贤的短板亦明显：其一，特教中职学历课程以中餐烹饪为主，虽通过立交桥扩展面点家政，但相较SMPKV多工种，技能覆盖面较窄；其二，上海特教中职课程方案要求实习实训，但全市层面仍反映智力、自闭、脑瘫学生难找企业，宜以班级集中、一线简单操作、需补贴才可持续（Yang, 2021）。因此奉贤的“就业转衔”更多表现为校内长周期实训加少量校外咖啡/家政体验，尚未形成类似JKM的外部Job Coach常态派驻。</w:t>
      </w:r>
    </w:p>
    <w:p>
      <w:pPr>
        <w:pStyle w:val="Heading2"/>
      </w:pPr>
      <w:r>
        <w:rPr>
          <w:rFonts w:ascii="Times New Roman" w:hAnsi="Times New Roman" w:eastAsia="Noto Sans SC" w:cs="Times New Roman"/>
        </w:rPr>
        <w:t>3.2 吉隆坡大都市区：SMPKV证书体系与多机构分流</w:t>
      </w:r>
    </w:p>
    <w:p>
      <w:pPr/>
      <w:r>
        <w:rPr>
          <w:rFonts w:ascii="Times New Roman" w:hAnsi="Times New Roman" w:eastAsia="Noto Serif SC" w:cs="Times New Roman"/>
        </w:rPr>
        <w:t>SMPKV Shah Alam位于雪兰莪莎阿南，属巴生谷通勤圈。该校早期曾服务听障，后扩展学习障碍；公开访校资料列其为JPK认可中心，提供女装制作、食品制备、美发、空调安装维护、焊接、建筑施工、家具生产、电气、手绘蜡染、桌面出版等；其他SMPKV资料还列摩托车装配与维修（WALS, 2022; International Journal of Creative Writing and English Literature, 2021）。教育部2017年报称全国SMPKV提供25门SKM一级至三级课程，Shah Alam具体开课等级按年度与JPK认证调整。其培养逻辑是：中学职业年段→JPK技能标准→SKM证书→开放就业或继续TVET。相比奉贤以“中餐烹饪学历＋校本咖啡”为主，SMPKV在电气、焊接、家具、空调、服装等工业与生活服务多领域并行，证书与外部劳动力市场对接更标准。</w:t>
      </w:r>
    </w:p>
    <w:p>
      <w:pPr/>
      <w:r>
        <w:rPr>
          <w:rFonts w:ascii="Times New Roman" w:hAnsi="Times New Roman" w:eastAsia="Noto Serif SC" w:cs="Times New Roman"/>
        </w:rPr>
        <w:t>PPKI（Program Pendidikan Khas Integrasi，融合特殊教育计划）与普通中学特教若进入职业方向，可通过基本职教、微证书或转入Kolej Vokasional继续SKM路径；但该路径对轻中度、具备读写与自理基础的学生更可行，对重度智力障碍或需长期行为支持者不一定适用。本文因未检索到2026年吉隆坡/雪兰莪PPKI微证书完整试点名单，不对其覆盖率作推断。</w:t>
      </w:r>
    </w:p>
    <w:p>
      <w:pPr/>
      <w:r>
        <w:rPr>
          <w:rFonts w:ascii="Times New Roman" w:hAnsi="Times New Roman" w:eastAsia="Noto Serif SC" w:cs="Times New Roman"/>
        </w:rPr>
        <w:t>Wisma Harapan Brickfields属吉隆坡联邦直辖区，服务自闭症、唐氏、学习障碍；提供生活技能、通用手作、缝纫等职业训练，以及就业准备、就业安置协助、行为管理；年龄以18—25岁及25岁以上为主（MIND/SAMH, n.d.-a; Star/MIND, 2018）。它不主要以发放国家统一SKM为学历目标，但承担“从特教到岗位”的准备与安置功能，其价值在于对ASD与多重发展障碍做个别化职业行为训练，再经由Job Coach或合作企业进入开放/过渡岗位。</w:t>
      </w:r>
    </w:p>
    <w:p>
      <w:pPr/>
      <w:r>
        <w:rPr>
          <w:rFonts w:ascii="Times New Roman" w:hAnsi="Times New Roman" w:eastAsia="Noto Serif SC" w:cs="Times New Roman"/>
        </w:rPr>
        <w:t>Bengkel Daya Klang属KPWKM/JKM，巴生境内，服务18—45岁、注册OKU，类别含中度学习障碍与肢体障碍，设缝纫、刺绣、面包糕点、洗衣、零售、餐饮工作单元；定位为无法在开放市场直接竞争者的庇护性技能与就业场所（Jabatan Kebajikan Masyarakat, n.d.; Bernama, 2024）。2024年KPWKM宣布与Gardenia KL合作强化烘焙，说明庇护工坊可借助企业技术提升产品质量并拓展过渡性岗位（Bernama, 2024）。其局限是“内部工作单元”不等于开放就业留任，论文比较时应单列“庇护留任”而非并入企业就业率。</w:t>
      </w:r>
    </w:p>
    <w:p>
      <w:pPr/>
      <w:r>
        <w:rPr>
          <w:rFonts w:ascii="Times New Roman" w:hAnsi="Times New Roman" w:eastAsia="Noto Serif SC" w:cs="Times New Roman"/>
        </w:rPr>
        <w:t>PLPP Bangi属成人身体障碍康复与技能训练，18—40岁，课程含办公管理SKM二级、电气安装、假肢矫形、金属/轮椅制造、美术、蜡染；JKM将其列为Job Coach服务点（Jabatan Kebajikan Masyarakat, n.d.; Borneo Post, 2011）。它补足SMPKV未充分覆盖的身体障碍成人，尤其是假肢、轮椅、电气等高技术工种；但其对象不主要针对自闭症或智力障碍，故不能与奉贤烹饪班直接对等。</w:t>
      </w:r>
    </w:p>
    <w:p>
      <w:pPr>
        <w:pStyle w:val="Heading1"/>
      </w:pPr>
      <w:r>
        <w:rPr>
          <w:rFonts w:ascii="Times New Roman" w:hAnsi="Times New Roman" w:eastAsia="Noto Sans SC" w:cs="Times New Roman"/>
        </w:rPr>
        <w:t>4 实习、岗位认知与校外实习资源评估</w:t>
      </w:r>
    </w:p>
    <w:p>
      <w:pPr/>
      <w:r>
        <w:rPr>
          <w:rFonts w:ascii="Times New Roman" w:hAnsi="Times New Roman" w:eastAsia="Noto Serif SC" w:cs="Times New Roman"/>
        </w:rPr>
        <w:t>上海特教中职课程方案要求“确保见习、实习和实训时间”，市级答复未给出统一月数，但政协委员提案引述特教班实习累计原则上不少于半年（Yang, 2021; Shanghai Municipal Education Commission, 2018）。奉贤实践将这一要求拆解为：一年级校内烹饪与面点基础，二年级心源小舍咖啡与酒店专业融合，三年级起通过立交桥与校外基地做家政、保洁、面点、餐饮认知，四年级进入岗位实习与转衔评估。其优点是教师、班主任、家长三方共同制定IEP；缺点是外部企业因利润、风险、管理成本不愿接收，集中编班、简单岗位、补贴缺位会降低实习多样性（Yang, 2021）。</w:t>
      </w:r>
    </w:p>
    <w:p>
      <w:pPr/>
      <w:r>
        <w:rPr>
          <w:rFonts w:ascii="Times New Roman" w:hAnsi="Times New Roman" w:eastAsia="Noto Serif SC" w:cs="Times New Roman"/>
        </w:rPr>
        <w:t>综合2021—2026年校方、区政府与市级政策材料，奉贤校外实习资源不宜简单判为“充足”或“不足”，可概括为“校内岗位认知较稳、区内跟岗基地逐步增多、跨机构公益补充初具规模，但面向智力障碍、自闭症、脑瘫学生的真实企业顶岗仍呈结构性偏紧”。第一，校内岗位认知基地供给稳定：“心源小舍”作为岗位认知实践基地，把岗位工作转化为课程教学与技能实践，并以校内基地承接多情境社会融合前期训练（Fengxian Secondary Vocational School, 2021）。第二，区内校外跟岗基地点位增加但岗位类型分化：2026年5月，特教三年级学生赴玺帆农业、宅咖车洗、慈善超市、益宠体验中心开展一周跟岗，按意向与能力分组，在企业导师指导下进行农业、洗车、零售慈善、宠物体验等岗位训练（Shanghai Vocational Education Online, 2026）；同月慈善超市跟岗材料显示，学生参与衣物分类叠放、义卖陈列与简易咖啡制作，说明零售与轻服务类岗位已具常态化条件（Xianchuang Public Welfare, 2026）。此外，青苔项目把宅咖车喜作为校外融合基地，叠加洗车、理货、收银、咖啡、慈善超市、手作等复合工种；奉浦街道还与二严寺素食馆和素食品厂、台青创业烘焙坊等对接，扩充餐饮与手作实习（China Youth Online, 2025）。第三，从“是否足以覆盖全体特教学生高质量转衔”看仍存在三点偏紧：其一，部分岗位任务过简、社交负载低，媒体调研指出农场翻土、洗衣套袋等易上手但缺乏与顾客沟通，对能力较好学生训练深度不足（Sina, 2024; China Youth Online, 2025）；其二，企业接收规模与障碍类型不匹配，能提供批量岗位的一般企业不多（Shanghai Municipal Women and Children Work Committee, 2021; Yang, 2021）；其三，真正长期留岗的出口仍窄，区政府材料称特教班有社会岗位实践经历者约30%，真正就业比例更低（Fengxian District Government, 2023）。</w:t>
      </w:r>
    </w:p>
    <w:p>
      <w:pPr/>
      <w:r>
        <w:rPr>
          <w:rFonts w:ascii="Times New Roman" w:hAnsi="Times New Roman" w:eastAsia="Noto Serif SC" w:cs="Times New Roman"/>
        </w:rPr>
        <w:t>政策与经费支持方面，市级层面2017年特教中职意见要求每区至少1个区属办学点，2018年课程方案明确见习、实习、实训时间，2024年教委答复重申确保实习实训并举例区域校企合作（Shanghai Municipal Education Commission &amp; Shanghai Disabled Persons’ Federation, 2017; Shanghai Municipal Education Commission, 2018, 2024）。奉贤本地由区教育局、区残联、学校、企业多方协同，免学杂费、餐费、服装费等，并通过健能公益实践基地、AEG基金、社工联校等补充资源（Eastday Education, 2021）。但针对接收特殊学生实习企业的专项补贴，市级公开答复未在本轮材料中被完整确认；杨七平提案所呼吁的“以区建专门实习基地、对接收企业给经费补贴、按安全与个性化定制”可作为奉贤进一步扩容的政策方向（Yang, 2021）。</w:t>
      </w:r>
    </w:p>
    <w:p>
      <w:pPr/>
      <w:r>
        <w:rPr>
          <w:rFonts w:ascii="Times New Roman" w:hAnsi="Times New Roman" w:eastAsia="Noto Serif SC" w:cs="Times New Roman"/>
        </w:rPr>
        <w:t>吉隆坡大都市区不统一要求“校内半年实习”，而按机构性质分流：SMPKV在校内工坊完成JPK任务，并通过外部企业附件或毕业前岗位实践取得SKM评估；Wisma Harapan在校内做行为—职业准备，再由Job Coach或就业人员接外部安置；Bengkel Daya以内部工作单元为常态就业，仅少数经能力评估与外部合作转向开放岗位；PLPP安排私人机构附件，目标为完成后6个月内部分学员进入相关岗位（Borneo Post, 2011）。两者差异不在“谁更重视实习”，而在实习所有权：上海以学校课程表驱动，吉隆坡以证书机构加福利就业服务共同驱动。</w:t>
      </w:r>
    </w:p>
    <w:p>
      <w:pPr>
        <w:pStyle w:val="Heading1"/>
      </w:pPr>
      <w:r>
        <w:rPr>
          <w:rFonts w:ascii="Times New Roman" w:hAnsi="Times New Roman" w:eastAsia="Noto Sans SC" w:cs="Times New Roman"/>
        </w:rPr>
        <w:t>5 Job Coach与持续在岗支持</w:t>
      </w:r>
    </w:p>
    <w:p>
      <w:pPr/>
      <w:r>
        <w:rPr>
          <w:rFonts w:ascii="Times New Roman" w:hAnsi="Times New Roman" w:eastAsia="Noto Serif SC" w:cs="Times New Roman"/>
        </w:rPr>
        <w:t>持续就业支持是本文核心比较项。上海奉贤公开材料未显示常态化第三方Job Coach；校外咖啡、家政、档案等实习主要由校内教师、企业店长、班主任联合带教。其支持逻辑是“教师主导—企业配合—家长督促”，优点是对学生障碍史、IEP、家庭情况连续掌握；弱点是企业端缺乏任务分析专业化、合理便利标准化与入职后定期外部复查。</w:t>
      </w:r>
    </w:p>
    <w:p>
      <w:pPr/>
      <w:r>
        <w:rPr>
          <w:rFonts w:ascii="Times New Roman" w:hAnsi="Times New Roman" w:eastAsia="Noto Serif SC" w:cs="Times New Roman"/>
        </w:rPr>
        <w:t>吉隆坡JKM Job Coach采用支持性就业经典六步：个人评估→职场评估→岗位匹配→密集支持→自然支持→后续跟进（Yusop, n.d.; Asia-Pacific Development Center on Disability, n.d.）。以超市场景为例，Job Coach先勘察动线与通勤安全，仅排日班；入职首周由企业HR做通用培训，Coach将复杂指令拆为单步示范，随后培训主管与同事形成自然支持，再逐步减少现场时间，保留电话与定期回访。该模式对学习能力障碍、自闭症、肢体障碍均可迁移。JKM津贴与Job Coach Network降低雇主成本，但全国认证Coach人数、各州服务覆盖率与企业知晓率仍限制规模；相关研究亦指出公众与企业对Job Coach认知不足、长期匹配与政策监测机制薄弱（Yusop, n.d.）。</w:t>
      </w:r>
    </w:p>
    <w:p>
      <w:pPr/>
      <w:r>
        <w:rPr>
          <w:rFonts w:ascii="Times New Roman" w:hAnsi="Times New Roman" w:eastAsia="Noto Serif SC" w:cs="Times New Roman"/>
        </w:rPr>
        <w:t>自闭症专项支持另可参考企业学院与商场项目：Yayasan Gamuda Enabling Academy对21岁以上自闭症青年做评估、软技能、3个月训练、企业匹配与入职后coaching，合作企业配supervisor与buddy；部分案例通过固定流程、短休、敏感度培训降低感官与执行功能冲突（Gamuda, n.d.）。1 Utama Amaze Work则以商场租户为多点雇主，设sensory pod与Coach重构工作流，3个月orientation后按表现转正式，但公开材料尚缺12个月留任率。系统综述显示，自闭症职场结果受培训深度、感统便利、直接沟通、工作重塑与主管协调影响显著（IAAP review, 2026）；仅做一次性面试辅导而不做岗位任务分析，难以改善长期留任。</w:t>
      </w:r>
    </w:p>
    <w:p>
      <w:pPr>
        <w:pStyle w:val="Heading1"/>
      </w:pPr>
      <w:r>
        <w:rPr>
          <w:rFonts w:ascii="Times New Roman" w:hAnsi="Times New Roman" w:eastAsia="Noto Sans SC" w:cs="Times New Roman"/>
        </w:rPr>
        <w:t>6 就业结果、留任因素与数据限制</w:t>
      </w:r>
    </w:p>
    <w:p>
      <w:pPr/>
      <w:r>
        <w:rPr>
          <w:rFonts w:ascii="Times New Roman" w:hAnsi="Times New Roman" w:eastAsia="Noto Serif SC" w:cs="Times New Roman"/>
        </w:rPr>
        <w:t>上海方面，现有公开材料可确认奉贤特教班约30%学生有社会岗位实践经历，但真正长期在企业全职者更少；部分因素为家庭对工作能力、收入与低保/残保待遇权衡，企业缺乏适合多步社交岗位，以及实习工种若过于机械会削弱职业身份（Fengxian District Government, 2023; China Youth Online, 2025）。全市特教中职面临企业接收难、集中实习难、利润回报低三重复合约束（Yang, 2021）。因此论文评价上海结果时，应以“岗位实践覆盖率”而非“开放就业率”作主要指标。</w:t>
      </w:r>
    </w:p>
    <w:p>
      <w:pPr/>
      <w:r>
        <w:rPr>
          <w:rFonts w:ascii="Times New Roman" w:hAnsi="Times New Roman" w:eastAsia="Noto Serif SC" w:cs="Times New Roman"/>
        </w:rPr>
        <w:t>吉隆坡方面，SMPKV有SKM取证人数但缺分校分专业长期留任库；JKM Job Coach在2012—2020阶段资料称通过服务促进1,397名残障者就业、770名雇主参与、培训大量Coach，但该类汇总不区分SMPKV、Bengkel、Wisma或企业学院，亦不提供6/12个月留任率（Yusop, n.d.）。Bengkel Daya报告工作单元产出与Gardenia合作，但不等于开放市场留任；PLPP早期目标为结业6个月部分学员就业，但样本与年代有限（Borneo Post, 2011）。因此吉隆坡结果评价应分三层：SKM/证书取得率、庇护工坊在岗率、开放就业留任率，不可相互替代。</w:t>
      </w:r>
    </w:p>
    <w:p>
      <w:pPr/>
      <w:r>
        <w:rPr>
          <w:rFonts w:ascii="Times New Roman" w:hAnsi="Times New Roman" w:eastAsia="Noto Serif SC" w:cs="Times New Roman"/>
        </w:rPr>
        <w:t>国际证据对上述差异提供解释：智力障碍者长期留任受持续岗位支持、合理便利、雇主参与、以人中心职业计划影响显著，单纯介绍岗位而不做产后跟进效果有限（Al-Kindi, 2026）；岗位支持系统综述指出，主管态度、同事互动、Job Coach响应与企业培训是竞争就业维持的关键环境变量（Carlson et al., 2020; van der Meulen et al., 2015）。将两地证据合并可得：无论上海或吉隆坡，若仅完成“校内会做”而缺“岗位任务分析＋外部Coach＋合理便利＋留任数据库”，持续在岗均不稳定。</w:t>
      </w:r>
    </w:p>
    <w:p>
      <w:pPr>
        <w:pStyle w:val="Heading1"/>
      </w:pPr>
      <w:r>
        <w:rPr>
          <w:rFonts w:ascii="Times New Roman" w:hAnsi="Times New Roman" w:eastAsia="Noto Sans SC" w:cs="Times New Roman"/>
        </w:rPr>
        <w:t>7 综合比较与模式归纳</w:t>
      </w:r>
    </w:p>
    <w:p>
      <w:pPr/>
      <w:r>
        <w:rPr>
          <w:rFonts w:ascii="Times New Roman" w:hAnsi="Times New Roman" w:eastAsia="Noto Sans SC" w:cs="Times New Roman"/>
        </w:rPr>
        <w:t>表 1  上海奉贤与吉隆坡大都市区特殊职业教育—就业转衔体系比较</w:t>
      </w:r>
    </w:p>
    <w:tbl>
      <w:tblPr>
        <w:tblStyle w:val="TableGrid"/>
        <w:tblW w:type="auto" w:w="0"/>
        <w:tblLook w:firstColumn="1" w:firstRow="1" w:lastColumn="0" w:lastRow="0" w:noHBand="0" w:noVBand="1" w:val="04A0"/>
      </w:tblPr>
      <w:tblGrid>
        <w:gridCol w:w="2268"/>
        <w:gridCol w:w="2268"/>
        <w:gridCol w:w="2268"/>
        <w:gridCol w:w="2268"/>
      </w:tblGrid>
      <w:tr>
        <w:tc>
          <w:tcPr>
            <w:tcW w:type="dxa" w:w="2268"/>
          </w:tcPr>
          <w:p>
            <w:r/>
            <w:r>
              <w:rPr>
                <w:rFonts w:ascii="Times New Roman" w:hAnsi="Times New Roman" w:eastAsia="Noto Sans SC" w:cs="Times New Roman"/>
              </w:rPr>
              <w:t>比较维度</w:t>
            </w:r>
          </w:p>
        </w:tc>
        <w:tc>
          <w:tcPr>
            <w:tcW w:type="dxa" w:w="2268"/>
          </w:tcPr>
          <w:p>
            <w:r/>
            <w:r>
              <w:rPr>
                <w:rFonts w:ascii="Times New Roman" w:hAnsi="Times New Roman" w:eastAsia="Noto Sans SC" w:cs="Times New Roman"/>
              </w:rPr>
              <w:t>上海奉贤</w:t>
            </w:r>
          </w:p>
        </w:tc>
        <w:tc>
          <w:tcPr>
            <w:tcW w:type="dxa" w:w="2268"/>
          </w:tcPr>
          <w:p>
            <w:r/>
            <w:r>
              <w:rPr>
                <w:rFonts w:ascii="Times New Roman" w:hAnsi="Times New Roman" w:eastAsia="Noto Sans SC" w:cs="Times New Roman"/>
              </w:rPr>
              <w:t>吉隆坡大都市区</w:t>
            </w:r>
          </w:p>
        </w:tc>
        <w:tc>
          <w:tcPr>
            <w:tcW w:type="dxa" w:w="2268"/>
          </w:tcPr>
          <w:p>
            <w:r/>
            <w:r>
              <w:rPr>
                <w:rFonts w:ascii="Times New Roman" w:hAnsi="Times New Roman" w:eastAsia="Noto Sans SC" w:cs="Times New Roman"/>
              </w:rPr>
              <w:t>对留任的共同关键</w:t>
            </w:r>
          </w:p>
        </w:tc>
      </w:tr>
      <w:tr>
        <w:tc>
          <w:tcPr>
            <w:tcW w:type="dxa" w:w="2268"/>
          </w:tcPr>
          <w:p>
            <w:r/>
            <w:r>
              <w:rPr>
                <w:rFonts w:ascii="Times New Roman" w:hAnsi="Times New Roman" w:eastAsia="Noto Serif SC" w:cs="Times New Roman"/>
              </w:rPr>
              <w:t>政策定位</w:t>
            </w:r>
          </w:p>
        </w:tc>
        <w:tc>
          <w:tcPr>
            <w:tcW w:type="dxa" w:w="2268"/>
          </w:tcPr>
          <w:p>
            <w:r/>
            <w:r>
              <w:rPr>
                <w:rFonts w:ascii="Times New Roman" w:hAnsi="Times New Roman" w:eastAsia="Noto Serif SC" w:cs="Times New Roman"/>
              </w:rPr>
              <w:t>区级特教中职点＋全市课程方案，学校主责</w:t>
            </w:r>
          </w:p>
        </w:tc>
        <w:tc>
          <w:tcPr>
            <w:tcW w:type="dxa" w:w="2268"/>
          </w:tcPr>
          <w:p>
            <w:r/>
            <w:r>
              <w:rPr>
                <w:rFonts w:ascii="Times New Roman" w:hAnsi="Times New Roman" w:eastAsia="Noto Serif SC" w:cs="Times New Roman"/>
              </w:rPr>
              <w:t>多部门分工：教育部SMPKV、JKM、KPWKM、NGO</w:t>
            </w:r>
          </w:p>
        </w:tc>
        <w:tc>
          <w:tcPr>
            <w:tcW w:type="dxa" w:w="2268"/>
          </w:tcPr>
          <w:p>
            <w:r/>
            <w:r>
              <w:rPr>
                <w:rFonts w:ascii="Times New Roman" w:hAnsi="Times New Roman" w:eastAsia="Noto Serif SC" w:cs="Times New Roman"/>
              </w:rPr>
              <w:t>制度协同与数据互通</w:t>
            </w:r>
          </w:p>
        </w:tc>
      </w:tr>
      <w:tr>
        <w:tc>
          <w:tcPr>
            <w:tcW w:type="dxa" w:w="2268"/>
          </w:tcPr>
          <w:p>
            <w:r/>
            <w:r>
              <w:rPr>
                <w:rFonts w:ascii="Times New Roman" w:hAnsi="Times New Roman" w:eastAsia="Noto Serif SC" w:cs="Times New Roman"/>
              </w:rPr>
              <w:t>课程与证书</w:t>
            </w:r>
          </w:p>
        </w:tc>
        <w:tc>
          <w:tcPr>
            <w:tcW w:type="dxa" w:w="2268"/>
          </w:tcPr>
          <w:p>
            <w:r/>
            <w:r>
              <w:rPr>
                <w:rFonts w:ascii="Times New Roman" w:hAnsi="Times New Roman" w:eastAsia="Noto Serif SC" w:cs="Times New Roman"/>
              </w:rPr>
              <w:t>四年烹饪为主＋立交桥单科，校本化为主</w:t>
            </w:r>
          </w:p>
        </w:tc>
        <w:tc>
          <w:tcPr>
            <w:tcW w:type="dxa" w:w="2268"/>
          </w:tcPr>
          <w:p>
            <w:r/>
            <w:r>
              <w:rPr>
                <w:rFonts w:ascii="Times New Roman" w:hAnsi="Times New Roman" w:eastAsia="Noto Serif SC" w:cs="Times New Roman"/>
              </w:rPr>
              <w:t>SMPKV多工种SKM/JPK，证书对接TVET</w:t>
            </w:r>
          </w:p>
        </w:tc>
        <w:tc>
          <w:tcPr>
            <w:tcW w:type="dxa" w:w="2268"/>
          </w:tcPr>
          <w:p>
            <w:r/>
            <w:r>
              <w:rPr>
                <w:rFonts w:ascii="Times New Roman" w:hAnsi="Times New Roman" w:eastAsia="Noto Serif SC" w:cs="Times New Roman"/>
              </w:rPr>
              <w:t>技能等级与岗位标准对应</w:t>
            </w:r>
          </w:p>
        </w:tc>
      </w:tr>
      <w:tr>
        <w:tc>
          <w:tcPr>
            <w:tcW w:type="dxa" w:w="2268"/>
          </w:tcPr>
          <w:p>
            <w:r/>
            <w:r>
              <w:rPr>
                <w:rFonts w:ascii="Times New Roman" w:hAnsi="Times New Roman" w:eastAsia="Noto Serif SC" w:cs="Times New Roman"/>
              </w:rPr>
              <w:t>实习实训</w:t>
            </w:r>
          </w:p>
        </w:tc>
        <w:tc>
          <w:tcPr>
            <w:tcW w:type="dxa" w:w="2268"/>
          </w:tcPr>
          <w:p>
            <w:r/>
            <w:r>
              <w:rPr>
                <w:rFonts w:ascii="Times New Roman" w:hAnsi="Times New Roman" w:eastAsia="Noto Serif SC" w:cs="Times New Roman"/>
              </w:rPr>
              <w:t>校内三层实训＋校外跟岗，类型渐全但顶岗偏紧</w:t>
            </w:r>
          </w:p>
        </w:tc>
        <w:tc>
          <w:tcPr>
            <w:tcW w:type="dxa" w:w="2268"/>
          </w:tcPr>
          <w:p>
            <w:r/>
            <w:r>
              <w:rPr>
                <w:rFonts w:ascii="Times New Roman" w:hAnsi="Times New Roman" w:eastAsia="Noto Serif SC" w:cs="Times New Roman"/>
              </w:rPr>
              <w:t>校内工坊＋企业附件＋庇护工坊分流</w:t>
            </w:r>
          </w:p>
        </w:tc>
        <w:tc>
          <w:tcPr>
            <w:tcW w:type="dxa" w:w="2268"/>
          </w:tcPr>
          <w:p>
            <w:r/>
            <w:r>
              <w:rPr>
                <w:rFonts w:ascii="Times New Roman" w:hAnsi="Times New Roman" w:eastAsia="Noto Serif SC" w:cs="Times New Roman"/>
              </w:rPr>
              <w:t>真实岗位与多样化工种</w:t>
            </w:r>
          </w:p>
        </w:tc>
      </w:tr>
      <w:tr>
        <w:tc>
          <w:tcPr>
            <w:tcW w:type="dxa" w:w="2268"/>
          </w:tcPr>
          <w:p>
            <w:r/>
            <w:r>
              <w:rPr>
                <w:rFonts w:ascii="Times New Roman" w:hAnsi="Times New Roman" w:eastAsia="Noto Serif SC" w:cs="Times New Roman"/>
              </w:rPr>
              <w:t>持续支持</w:t>
            </w:r>
          </w:p>
        </w:tc>
        <w:tc>
          <w:tcPr>
            <w:tcW w:type="dxa" w:w="2268"/>
          </w:tcPr>
          <w:p>
            <w:r/>
            <w:r>
              <w:rPr>
                <w:rFonts w:ascii="Times New Roman" w:hAnsi="Times New Roman" w:eastAsia="Noto Serif SC" w:cs="Times New Roman"/>
              </w:rPr>
              <w:t>教师—店长—家长联合带教，缺第三方Coach常态派驻</w:t>
            </w:r>
          </w:p>
        </w:tc>
        <w:tc>
          <w:tcPr>
            <w:tcW w:type="dxa" w:w="2268"/>
          </w:tcPr>
          <w:p>
            <w:r/>
            <w:r>
              <w:rPr>
                <w:rFonts w:ascii="Times New Roman" w:hAnsi="Times New Roman" w:eastAsia="Noto Serif SC" w:cs="Times New Roman"/>
              </w:rPr>
              <w:t>JKM Job Coach六步＋自然支持＋后续跟进</w:t>
            </w:r>
          </w:p>
        </w:tc>
        <w:tc>
          <w:tcPr>
            <w:tcW w:type="dxa" w:w="2268"/>
          </w:tcPr>
          <w:p>
            <w:r/>
            <w:r>
              <w:rPr>
                <w:rFonts w:ascii="Times New Roman" w:hAnsi="Times New Roman" w:eastAsia="Noto Serif SC" w:cs="Times New Roman"/>
              </w:rPr>
              <w:t>任务分析、合理便利与Coach淡出</w:t>
            </w:r>
          </w:p>
        </w:tc>
      </w:tr>
      <w:tr>
        <w:tc>
          <w:tcPr>
            <w:tcW w:type="dxa" w:w="2268"/>
          </w:tcPr>
          <w:p>
            <w:r/>
            <w:r>
              <w:rPr>
                <w:rFonts w:ascii="Times New Roman" w:hAnsi="Times New Roman" w:eastAsia="Noto Serif SC" w:cs="Times New Roman"/>
              </w:rPr>
              <w:t>就业结果口径</w:t>
            </w:r>
          </w:p>
        </w:tc>
        <w:tc>
          <w:tcPr>
            <w:tcW w:type="dxa" w:w="2268"/>
          </w:tcPr>
          <w:p>
            <w:r/>
            <w:r>
              <w:rPr>
                <w:rFonts w:ascii="Times New Roman" w:hAnsi="Times New Roman" w:eastAsia="Noto Serif SC" w:cs="Times New Roman"/>
              </w:rPr>
              <w:t>岗位实践覆盖率约30%，开放就业率不宜外推</w:t>
            </w:r>
          </w:p>
        </w:tc>
        <w:tc>
          <w:tcPr>
            <w:tcW w:type="dxa" w:w="2268"/>
          </w:tcPr>
          <w:p>
            <w:r/>
            <w:r>
              <w:rPr>
                <w:rFonts w:ascii="Times New Roman" w:hAnsi="Times New Roman" w:eastAsia="Noto Serif SC" w:cs="Times New Roman"/>
              </w:rPr>
              <w:t>分证书取得率、庇护在岗率、开放留任率</w:t>
            </w:r>
          </w:p>
        </w:tc>
        <w:tc>
          <w:tcPr>
            <w:tcW w:type="dxa" w:w="2268"/>
          </w:tcPr>
          <w:p>
            <w:r/>
            <w:r>
              <w:rPr>
                <w:rFonts w:ascii="Times New Roman" w:hAnsi="Times New Roman" w:eastAsia="Noto Serif SC" w:cs="Times New Roman"/>
              </w:rPr>
              <w:t>建立6/12个月留任追踪</w:t>
            </w:r>
          </w:p>
        </w:tc>
      </w:tr>
    </w:tbl>
    <w:p>
      <w:pPr/>
      <w:r>
        <w:rPr>
          <w:rFonts w:ascii="Times New Roman" w:hAnsi="Times New Roman" w:eastAsia="Noto Serif SC" w:cs="Times New Roman"/>
        </w:rPr>
        <w:t>上海奉贤模式：政策统一、IEP规范、四年烹饪加咖啡/面点/家政扩展；优势是特殊学生受教育权保障强、校内融合与安全控制高；劣势是企业实习外部性不足、技能证书主要校内化、毕业后Job Coach第三方机制弱。适合借鉴给尚未建立多部门残障就业制度的地区作为“学校主责型”样本。</w:t>
      </w:r>
    </w:p>
    <w:p>
      <w:pPr/>
      <w:r>
        <w:rPr>
          <w:rFonts w:ascii="Times New Roman" w:hAnsi="Times New Roman" w:eastAsia="Noto Serif SC" w:cs="Times New Roman"/>
        </w:rPr>
        <w:t>吉隆坡大都市区模式：SMPKV多工种SKM、Wisma做ASD/学习障碍准备、Bengkel做庇护生产、PLPP做身体障碍技能康复、JKM Job Coach做开放就业持续支持；优势是证书、岗位匹配、合理便利与支持性就业专业化，劣势是机构分属不同部委与NGO，数据标准不一，庇护与开放就业结果易混淆。适合借鉴给已具TVET与福利行政分工的地区作为“多部门支持型”样本。</w:t>
      </w:r>
    </w:p>
    <w:p>
      <w:pPr/>
      <w:r>
        <w:rPr>
          <w:rFonts w:ascii="Times New Roman" w:hAnsi="Times New Roman" w:eastAsia="Noto Serif SC" w:cs="Times New Roman"/>
        </w:rPr>
        <w:t>对文莱等小规模高收入城市的政策含义不是复制某一地，而是抽取共同闭环：入学即职业评估；中职阶段至少两类真实岗位实习；技能合格发微证书或国家技能等级；毕业前3—6个月Job Coach介入；入职后1/3/6/12个月复评；按任务分析而非诊断标签决定支持强度；建立庇护、过渡、开放就业三套统计口径。</w:t>
      </w:r>
    </w:p>
    <w:p>
      <w:pPr>
        <w:pStyle w:val="Heading1"/>
      </w:pPr>
      <w:r>
        <w:rPr>
          <w:rFonts w:ascii="Times New Roman" w:hAnsi="Times New Roman" w:eastAsia="Noto Sans SC" w:cs="Times New Roman"/>
        </w:rPr>
        <w:t>8 结论</w:t>
      </w:r>
    </w:p>
    <w:p>
      <w:pPr/>
      <w:r>
        <w:rPr>
          <w:rFonts w:ascii="Times New Roman" w:hAnsi="Times New Roman" w:eastAsia="Noto Serif SC" w:cs="Times New Roman"/>
        </w:rPr>
        <w:t>上海与吉隆坡大都市区在特殊职业教育—就业转衔上采取不同制度组合。上海以区属特教中职、统一课程方案与校内实训为核心，强在公平准入与IEP连续，弱在外部就业服务与长期留任跟踪。吉隆坡大都市区以SMPKV技能证书、JKM Job Coach、庇护工坊与NGO职业准备为核心，强在岗位匹配、合理便利与支持性就业专业化，弱在跨机构数据整合与结果透明。未来特教职教政策应避免单一“就业率”指标，转而建立“实习覆盖—证书取得—入职匹配—6/12个月留任—合理便利成本”的综合评价。对学术研究而言，上海样本可补充企业实习障碍的质性追踪，吉隆坡样本可补充SMPKV与Job Coach分障别留任数据库；两者互为参照，可共同支撑东南亚—东亚特殊职业教育从“能培训”走向“能持续就业”。</w:t>
      </w:r>
    </w:p>
    <w:p>
      <w:pPr>
        <w:pStyle w:val="Heading1"/>
      </w:pPr>
      <w:r>
        <w:rPr>
          <w:rFonts w:ascii="Times New Roman" w:hAnsi="Times New Roman" w:eastAsia="Noto Sans SC" w:cs="Times New Roman"/>
        </w:rPr>
        <w:t>参考文献</w:t>
      </w:r>
    </w:p>
    <w:p>
      <w:pPr/>
      <w:r>
        <w:rPr>
          <w:rFonts w:ascii="Times New Roman" w:hAnsi="Times New Roman" w:eastAsia="Noto Serif SC" w:cs="Times New Roman"/>
        </w:rPr>
        <w:t>Al-Kindi, R. (2026). The effectiveness of workplace support interventions in increasing long-term employment retention among adults with intellectual disabilities: A quantitative meta-analysis. British Journal of Nursing Sciences, 9(3), Article 12898. https://al-kindipublisher.com/index.php/bjns/article/view/12898</w:t>
      </w:r>
    </w:p>
    <w:p>
      <w:pPr/>
      <w:r>
        <w:rPr>
          <w:rFonts w:ascii="Times New Roman" w:hAnsi="Times New Roman" w:eastAsia="Noto Serif SC" w:cs="Times New Roman"/>
        </w:rPr>
        <w:t>Asia-Pacific Development Center on Disability. (n.d.). Introduction to Job Coach: Promotes sustainable employment of persons with disabilities. https://apcdfoundation.org/sites/default/files/2023-07/1.%20Introduction_to_Job_Coach_English.pdf</w:t>
      </w:r>
    </w:p>
    <w:p>
      <w:pPr/>
      <w:r>
        <w:rPr>
          <w:rFonts w:ascii="Times New Roman" w:hAnsi="Times New Roman" w:eastAsia="Noto Serif SC" w:cs="Times New Roman"/>
        </w:rPr>
        <w:t>Bernama. (2024, January 16). KPWKM to collaborate with Gardenia KL to empower ‘Bengkel Daya’ programme. https://www.bernama.com/en/news.php?id=2262939</w:t>
      </w:r>
    </w:p>
    <w:p>
      <w:pPr/>
      <w:r>
        <w:rPr>
          <w:rFonts w:ascii="Times New Roman" w:hAnsi="Times New Roman" w:eastAsia="Noto Serif SC" w:cs="Times New Roman"/>
        </w:rPr>
        <w:t>Borneo Post. (2011, December 3). Industrial training and rehabilitation for the disabled. https://www.theborneopost.com/?p=170679</w:t>
      </w:r>
    </w:p>
    <w:p>
      <w:pPr/>
      <w:r>
        <w:rPr>
          <w:rFonts w:ascii="Times New Roman" w:hAnsi="Times New Roman" w:eastAsia="Noto Serif SC" w:cs="Times New Roman"/>
        </w:rPr>
        <w:t>Carlson, S. R., Morningstar, M. E., &amp; Munandar, V. (2020). Workplace supports for employees with intellectual disability: A systematic review of the intervention literature. Journal of Vocational Rehabilitation, 52(3), 251–265. https://doi.org/10.3233/JVR-201075</w:t>
      </w:r>
    </w:p>
    <w:p>
      <w:pPr/>
      <w:r>
        <w:rPr>
          <w:rFonts w:ascii="Times New Roman" w:hAnsi="Times New Roman" w:eastAsia="Noto Serif SC" w:cs="Times New Roman"/>
        </w:rPr>
        <w:t>China Youth Online. (2025, September 13). Special youth employment: Behind them are guardians [Qingtai project, Fengxian]. https://m.cyol.com/gb/articles/2025-09/13/content_jpPja4cwoL.html</w:t>
      </w:r>
    </w:p>
    <w:p>
      <w:pPr/>
      <w:r>
        <w:rPr>
          <w:rFonts w:ascii="Times New Roman" w:hAnsi="Times New Roman" w:eastAsia="Noto Serif SC" w:cs="Times New Roman"/>
        </w:rPr>
        <w:t>Eastday Education. (2021, March 12). Fengxian strengthens special secondary vocational class construction to serve sustainable development of special students. Eastday. https://edu.eastday.com/node2/jypd/n5/20210312/u1ai37879.html</w:t>
      </w:r>
    </w:p>
    <w:p>
      <w:pPr/>
      <w:r>
        <w:rPr>
          <w:rFonts w:ascii="Times New Roman" w:hAnsi="Times New Roman" w:eastAsia="Noto Serif SC" w:cs="Times New Roman"/>
        </w:rPr>
        <w:t>Fengxian District Government. (2023, June 7). On-campus “Xinyuan Xiaoshe” coffee and whether it can help them access ordinary life. https://www.fengxian.gov.cn/gzms/20230607/44579.html</w:t>
      </w:r>
    </w:p>
    <w:p>
      <w:pPr/>
      <w:r>
        <w:rPr>
          <w:rFonts w:ascii="Times New Roman" w:hAnsi="Times New Roman" w:eastAsia="Noto Serif SC" w:cs="Times New Roman"/>
        </w:rPr>
        <w:t>Fengxian Secondary Vocational School. (2021, December 10). School establishes job cognition practice base “Xinyuan Xiaoshe” for special education secondary vocational students. https://www.fxzz.sh.cn/contents/10/486.html</w:t>
      </w:r>
    </w:p>
    <w:p>
      <w:pPr/>
      <w:r>
        <w:rPr>
          <w:rFonts w:ascii="Times New Roman" w:hAnsi="Times New Roman" w:eastAsia="Noto Serif SC" w:cs="Times New Roman"/>
        </w:rPr>
        <w:t>Gamuda. (n.d.). Enabling Academy: Employment Transition Programme [Brochure]. https://gamuda.com/wp-content/uploads/2022/04/Employment-Transition-Programme_Chinese.pdf</w:t>
      </w:r>
    </w:p>
    <w:p>
      <w:pPr/>
      <w:r>
        <w:rPr>
          <w:rFonts w:ascii="Times New Roman" w:hAnsi="Times New Roman" w:eastAsia="Noto Serif SC" w:cs="Times New Roman"/>
        </w:rPr>
        <w:t>International Journal of Creative Writing and English Literature. (2021). Career transition programme for student with learning disabilities: In excellent teachers’ own words. IJCWED, 1(2), 1–20. https://ijcwed.com/wp-content/uploads/2021/06/IJCWED12-201.pdf</w:t>
      </w:r>
    </w:p>
    <w:p>
      <w:pPr/>
      <w:r>
        <w:rPr>
          <w:rFonts w:ascii="Times New Roman" w:hAnsi="Times New Roman" w:eastAsia="Noto Serif SC" w:cs="Times New Roman"/>
        </w:rPr>
        <w:t>Jabatan Kebajikan Masyarakat. (n.d.). Job Coach. MyGOV Malaysia. https://www.mygovernmen.com/mygov-jkm</w:t>
      </w:r>
    </w:p>
    <w:p>
      <w:pPr/>
      <w:r>
        <w:rPr>
          <w:rFonts w:ascii="Times New Roman" w:hAnsi="Times New Roman" w:eastAsia="Noto Serif SC" w:cs="Times New Roman"/>
        </w:rPr>
        <w:t>Malaysia Ministry of Education. (2017). Malaysia education blueprint annual report 2017. https://www.moe.gov.my/storage/files/shares/Dasar/PPPM/MEB%20Annual%20Report%202017.pdf</w:t>
      </w:r>
    </w:p>
    <w:p>
      <w:pPr/>
      <w:r>
        <w:rPr>
          <w:rFonts w:ascii="Times New Roman" w:hAnsi="Times New Roman" w:eastAsia="Noto Serif SC" w:cs="Times New Roman"/>
        </w:rPr>
        <w:t>MIND/SAMH. (n.d.-a). SARC/Wisma Harapan School, sheltered workshop and vocational training centre. https://mind.org.my?p=1055</w:t>
      </w:r>
    </w:p>
    <w:p>
      <w:pPr/>
      <w:r>
        <w:rPr>
          <w:rFonts w:ascii="Times New Roman" w:hAnsi="Times New Roman" w:eastAsia="Noto Serif SC" w:cs="Times New Roman"/>
        </w:rPr>
        <w:t>MIND/SAMH. (n.d.-b). Pre-employment: Bengkel Daya Klang. https://mind.org.my/employment</w:t>
      </w:r>
    </w:p>
    <w:p>
      <w:pPr/>
      <w:r>
        <w:rPr>
          <w:rFonts w:ascii="Times New Roman" w:hAnsi="Times New Roman" w:eastAsia="Noto Serif SC" w:cs="Times New Roman"/>
        </w:rPr>
        <w:t>Shanghai Fengxian Secondary Vocational School. (2026a, March 11). Special education students promote lifelong learning development: Overpass project new semester meeting. https://www.fxzz.sh.cn/contents/10/1948.html</w:t>
      </w:r>
    </w:p>
    <w:p>
      <w:pPr/>
      <w:r>
        <w:rPr>
          <w:rFonts w:ascii="Times New Roman" w:hAnsi="Times New Roman" w:eastAsia="Noto Serif SC" w:cs="Times New Roman"/>
        </w:rPr>
        <w:t>Shanghai Fengxian Secondary Vocational School. (2026b, May 27). Career experience for ninth-grade Huimin School students at Fengxian secondary vocational school. https://www.fxzz.sh.cn/contents/223/1963.html</w:t>
      </w:r>
    </w:p>
    <w:p>
      <w:pPr/>
      <w:r>
        <w:rPr>
          <w:rFonts w:ascii="Times New Roman" w:hAnsi="Times New Roman" w:eastAsia="Noto Serif SC" w:cs="Times New Roman"/>
        </w:rPr>
        <w:t>Shanghai Municipal Education Commission. (2018). Shanghai special secondary vocational education school (class) curriculum plan (trial). Shanghai Special Education Online. https://spe.hpe.cn/P/C/354011.htm</w:t>
      </w:r>
    </w:p>
    <w:p>
      <w:pPr/>
      <w:r>
        <w:rPr>
          <w:rFonts w:ascii="Times New Roman" w:hAnsi="Times New Roman" w:eastAsia="Noto Serif SC" w:cs="Times New Roman"/>
        </w:rPr>
        <w:t>Shanghai Municipal Education Commission. (2024, September 12). Reply to Proposal No. 0001 of the 14th Municipal Committee of the Chinese People’s Political Consultative Conference. https://edu.sh.gov.cn/xxgk2_zhzw_jyta_02/20240912/d88eb16b585b4fe2a89b7d4feb7d337d.html</w:t>
      </w:r>
    </w:p>
    <w:p>
      <w:pPr/>
      <w:r>
        <w:rPr>
          <w:rFonts w:ascii="Times New Roman" w:hAnsi="Times New Roman" w:eastAsia="Noto Serif SC" w:cs="Times New Roman"/>
        </w:rPr>
        <w:t>Shanghai Municipal Education Commission &amp; Shanghai Disabled Persons’ Federation. (2017). Implementation opinions on strengthening special vocational education management (Hu Jiao Wei Ji [2017] No. 11). Shanghai Special Education Information Service Platform. https://i-shtj.shec.edu.cn/shsedu/news/content/4547</w:t>
      </w:r>
    </w:p>
    <w:p>
      <w:pPr/>
      <w:r>
        <w:rPr>
          <w:rFonts w:ascii="Times New Roman" w:hAnsi="Times New Roman" w:eastAsia="Noto Serif SC" w:cs="Times New Roman"/>
        </w:rPr>
        <w:t>Shanghai Municipal Women and Children Work Committee. (2021, January 27). The internship dilemma of “special” children. https://fegw.sh.gov.cn/type3/20210127/c620bd884fec49fd8a104d15ce6433ac.html</w:t>
      </w:r>
    </w:p>
    <w:p>
      <w:pPr/>
      <w:r>
        <w:rPr>
          <w:rFonts w:ascii="Times New Roman" w:hAnsi="Times New Roman" w:eastAsia="Noto Serif SC" w:cs="Times New Roman"/>
        </w:rPr>
        <w:t>Shanghai Vocational Education Online. (2026, June 1). Fengxian secondary vocational school: Special education students job-shadowing at agricultural, car-wash, charity supermarket and pet-experience bases. https://www.shedu.net.cn/shedu_new/data/shouye/202661151131_114.html</w:t>
      </w:r>
    </w:p>
    <w:p>
      <w:pPr/>
      <w:r>
        <w:rPr>
          <w:rFonts w:ascii="Times New Roman" w:hAnsi="Times New Roman" w:eastAsia="Noto Serif SC" w:cs="Times New Roman"/>
        </w:rPr>
        <w:t>Sina. (2024, April 21). First experience of workplace life for special education class youth. https://k.sina.cn/article_7517400647_1c0126e4705905051e.html</w:t>
      </w:r>
    </w:p>
    <w:p>
      <w:pPr/>
      <w:r>
        <w:rPr>
          <w:rFonts w:ascii="Times New Roman" w:hAnsi="Times New Roman" w:eastAsia="Noto Serif SC" w:cs="Times New Roman"/>
        </w:rPr>
        <w:t>Star/MIND. (2018, May 6). Different levels based on individual abilities: Wisma Harapan. https://mind.org.my/news/different-levels-based-on-individual-abilities/</w:t>
      </w:r>
    </w:p>
    <w:p>
      <w:pPr/>
      <w:r>
        <w:rPr>
          <w:rFonts w:ascii="Times New Roman" w:hAnsi="Times New Roman" w:eastAsia="Noto Serif SC" w:cs="Times New Roman"/>
        </w:rPr>
        <w:t>Tencent News. (2023, June 7). On-campus “Xinyuan Xiaoshe” coffee and access to ordinary life for special education students. https://view.inews.qq.com/a/20230607A067IB00</w:t>
      </w:r>
    </w:p>
    <w:p>
      <w:pPr/>
      <w:r>
        <w:rPr>
          <w:rFonts w:ascii="Times New Roman" w:hAnsi="Times New Roman" w:eastAsia="Noto Serif SC" w:cs="Times New Roman"/>
        </w:rPr>
        <w:t>van der Meulen, E., van der Putten, A., &amp; Vlaskamp, C. (2015). Work environment-related factors in obtaining and maintaining work in a competitive employment setting for employees with intellectual disabilities: A systematic review. Journal of Occupational Rehabilitation, 26(1), 156–171. https://doi.org/10.1007/s10926-015-9587-1</w:t>
      </w:r>
    </w:p>
    <w:p>
      <w:pPr/>
      <w:r>
        <w:rPr>
          <w:rFonts w:ascii="Times New Roman" w:hAnsi="Times New Roman" w:eastAsia="Noto Serif SC" w:cs="Times New Roman"/>
        </w:rPr>
        <w:t>WALS. (2022). Additional information for school visit: Sekolah Menengah Pendidikan Khas Vokasional Shah Alam. https://www.walsnet.org/2022/additional-information-for-school-visit</w:t>
      </w:r>
    </w:p>
    <w:p>
      <w:pPr/>
      <w:r>
        <w:rPr>
          <w:rFonts w:ascii="Times New Roman" w:hAnsi="Times New Roman" w:eastAsia="Noto Serif SC" w:cs="Times New Roman"/>
        </w:rPr>
        <w:t>Xianchuang Public Welfare Service Center, Fengxian District. (2026, May 11). Job-shadowing at Fengxian charity supermarket for special education students. https://mp.weixin.qq.com/s?src=11&amp;timestamp=1790491777&amp;ver=6991&amp;signature=zJkcrZC3QI05T51gLgQM2N-sqJDc7nZ654Yk5LGLmY3stPjYdY5aJKmzEb5n6aAXvVNoInhEhBrv748eFQDLP99xiaBtZidKLM70I6cGrWhOqs7l8sarKKDU7x2PbMOf&amp;new=1</w:t>
      </w:r>
    </w:p>
    <w:p>
      <w:pPr/>
      <w:r>
        <w:rPr>
          <w:rFonts w:ascii="Times New Roman" w:hAnsi="Times New Roman" w:eastAsia="Noto Serif SC" w:cs="Times New Roman"/>
        </w:rPr>
        <w:t>Yang, Q. (2021, January 26). Proposal on building internship bases for students with intellectual disability, autism and cerebral palsy and providing funding subsidies to receiving enterprises. China People’s Political Consultative Conference. https://cppcc.china.com.cn/2021-01/26/content_77154809.htm</w:t>
      </w:r>
    </w:p>
    <w:p>
      <w:pPr/>
      <w:r>
        <w:rPr>
          <w:rFonts w:ascii="Times New Roman" w:hAnsi="Times New Roman" w:eastAsia="Noto Serif SC" w:cs="Times New Roman"/>
        </w:rPr>
        <w:t>Yusop, S. Z. (n.d.). Job Coach development in career transition in Malaysia. HRMARS. https://hrmars.com/papers_submitted/22358/job-coach-development-in-career-transition-in-malaysia.pdf</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eastAsia="Noto Serif SC"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jc w:val="left"/>
      <w:outlineLvl w:val="0"/>
    </w:pPr>
    <w:rPr>
      <w:rFonts w:ascii="Times New Roman" w:hAnsi="Times New Roman" w:eastAsia="Noto Sans SC"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20" w:after="120" w:line="360" w:lineRule="auto"/>
      <w:jc w:val="left"/>
      <w:outlineLvl w:val="1"/>
    </w:pPr>
    <w:rPr>
      <w:rFonts w:ascii="Times New Roman" w:hAnsi="Times New Roman" w:eastAsia="Noto Sans SC" w:cs="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Noto Sans SC"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Noto Sans SC"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Noto Sans SC"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Noto Sans SC"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Noto Sans SC"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Noto Sans SC"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Noto Sans SC"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Noto Sans SC"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Noto Sans SC"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Noto Sans SC" w:cs="Times New Roman"/>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360" w:lineRule="auto" w:before="360"/>
      <w:contextualSpacing/>
      <w:jc w:val="center"/>
    </w:pPr>
    <w:rPr>
      <w:rFonts w:ascii="Times New Roman" w:hAnsi="Times New Roman" w:eastAsia="Noto Sans SC" w:cs="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line="360" w:lineRule="auto"/>
      <w:jc w:val="center"/>
    </w:pPr>
    <w:rPr>
      <w:rFonts w:ascii="Times New Roman" w:hAnsi="Times New Roman" w:eastAsia="Noto Sans SC" w:cs="Times New Roman"/>
      <w:b w:val="0"/>
      <w:i/>
      <w:iCs/>
      <w:color w:val="4F81BD" w:themeColor="accent1"/>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Times New Roman" w:hAnsi="Times New Roman" w:eastAsia="Noto Serif SC" w:cs="Times New Roman"/>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Noto Serif SC" w:cs="Times New Roman"/>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eastAsia="Noto Serif SC" w:cs="Times New Roman"/>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Noto Sans SC"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Noto Sans SC"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Noto Sans SC"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Noto Sans SC"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Noto Sans SC"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Noto Sans SC"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{"Label":"1","ContentProducer":"001191440300708461136T1WFUO","ProduceID":"7568f139a568512cf3017bc934a80c4f-gYPy","ReservedCode1":"{\"Type\":\" TC260PG\",\"Version\":1,\"Bindings\":[{\"Type\":\"soft\",\"AlgID\":\"sm3\",\"Value\":\"02bfa9e7d6b2905ef2ae61b30df8502011a8e33fc6b4e15b2825a1b523eb45f7\"},{\"Type\":\"hash\",\"AlgID\":\"sm3\",\"Value\":\"3c113d85fcd1f41323743c6eb1018f31fef81396041673edc7f033c840086f79\"}],\"PubSD\":[{\"Type\":\"DS\",\"AlgID\":\"sm2\",\"TBSData\":{\"Type\":\"Binding\",\"BType\":\"hash\"},\"Signature\":\"30440220163a6bb93191c6b106f88df250755d89755b7f619cb3c4fbf78cb3c89aa39f3802203a13087df35b197c3c2aca598de8d7bbbe20e1e1f4bedda692a4705ceade5871\"},{\"Type\":\"PubKey\",\"AlgID\":\"sm2\",\"KeyValue\":\"0407f79b28a17a752b3aae4305c98b48978213832729a2571850b1310b2bc9fe8fee039ccf25ebfeac27502414d9fcef792d777183c98893d226171c2f7a3289a2\"}],\"Extension\":{\"Timestamp\":1790492036,\"KeyVersion\":\"v1-TxLeOmf7bqU223\"}}","ContentPropagator":"001191440300708461136T1WFUO","PropagateID":"7568f139a568512cf3017bc934a80c4f-gYPy","ReservedCode2":"{\"Type\":\" TC260PG\",\"Version\":1,\"Bindings\":[{\"Type\":\"soft\",\"AlgID\":\"sm3\",\"Value\":\"02bfa9e7d6b2905ef2ae61b30df8502011a8e33fc6b4e15b2825a1b523eb45f7\"},{\"Type\":\"hash\",\"AlgID\":\"sm3\",\"Value\":\"3c113d85fcd1f41323743c6eb1018f31fef81396041673edc7f033c840086f79\"}],\"PubSD\":[{\"Type\":\"DS\",\"AlgID\":\"sm2\",\"TBSData\":{\"Type\":\"Binding\",\"BType\":\"hash\"},\"Signature\":\"3046022100ab0915bb455d268f83c1a130423271dc04a935208f3161bff73ce2a391de0d0c022100a66e7cd713541e05198a4a2a0b1b5bae27ca2fcee58c391edc1f8a781bbe2fc3\"},{\"Type\":\"PubKey\",\"AlgID\":\"sm2\",\"KeyValue\":\"0407f79b28a17a752b3aae4305c98b48978213832729a2571850b1310b2bc9fe8fee039ccf25ebfeac27502414d9fcef792d777183c98893d226171c2f7a3289a2\"}],\"Extension\":{\"Timestamp\":1790492036,\"KeyVersion\":\"v1-TxLeOmf7bqU223\"}}"}</vt:lpwstr>
  </property>
</Properties>
</file>