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683C" w14:textId="77777777" w:rsidR="00EC571B" w:rsidRDefault="00000000">
      <w:pPr>
        <w:spacing w:after="140"/>
        <w:jc w:val="center"/>
      </w:pPr>
      <w:r>
        <w:rPr>
          <w:b/>
          <w:sz w:val="30"/>
        </w:rPr>
        <w:t>MSN1074 RESEARCH METHODOLOGY</w:t>
      </w:r>
      <w:r>
        <w:rPr>
          <w:b/>
          <w:sz w:val="30"/>
        </w:rPr>
        <w:br/>
      </w:r>
      <w:r>
        <w:rPr>
          <w:b/>
          <w:sz w:val="30"/>
        </w:rPr>
        <w:br/>
        <w:t>WRITING CHAPTER ONE</w:t>
      </w:r>
    </w:p>
    <w:p w14:paraId="44609FDC" w14:textId="5D33C1A6" w:rsidR="00EC571B" w:rsidRDefault="00000000">
      <w:pPr>
        <w:spacing w:after="280"/>
        <w:jc w:val="center"/>
      </w:pPr>
      <w:r>
        <w:rPr>
          <w:i/>
        </w:rPr>
        <w:t>An Illustrative Example of Chapter One Alignment in Special Needs Education Research</w:t>
      </w:r>
      <w:r>
        <w:rPr>
          <w:i/>
        </w:rPr>
        <w:br/>
        <w:t>From Research Gap to Research Questions</w:t>
      </w:r>
      <w:r>
        <w:rPr>
          <w:i/>
        </w:rPr>
        <w:br/>
        <w:t>[Logic Chain: Context → Problem → Gap → Aim → Objectives → Research Questions]</w:t>
      </w:r>
    </w:p>
    <w:p w14:paraId="49E1A180" w14:textId="77777777" w:rsidR="00EC571B" w:rsidRDefault="00000000">
      <w:pPr>
        <w:spacing w:after="60"/>
      </w:pPr>
      <w:r>
        <w:rPr>
          <w:b/>
          <w:sz w:val="24"/>
        </w:rPr>
        <w:t>How to Use This Example</w:t>
      </w:r>
    </w:p>
    <w:p w14:paraId="6FFD7886" w14:textId="77777777" w:rsidR="00EC571B" w:rsidRDefault="00000000">
      <w:pPr>
        <w:spacing w:after="240" w:line="264" w:lineRule="auto"/>
      </w:pPr>
      <w:r>
        <w:t>This handout is an illustrative example that shows how the parts of Chapter One fit together in a small-scale special needs education study. As you work through the lecture slides, use it to trace how a focused educational issue and a research gap lead to a problem statement and research aim, how the aim is developed into research objectives, and how each objective becomes an answerable research question. This is not a template to copy. It is a model of alignment and logical flow for use when developing your own research proposal. [cite] marks where a real proposal must give sources. A full Chapter One is also considerably longer; this example is condensed to make the logic visible.</w:t>
      </w:r>
    </w:p>
    <w:p w14:paraId="73405B16" w14:textId="77777777" w:rsidR="00502CC6" w:rsidRDefault="00502CC6">
      <w:pPr>
        <w:spacing w:after="240" w:line="264" w:lineRule="auto"/>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87"/>
        <w:gridCol w:w="7545"/>
      </w:tblGrid>
      <w:tr w:rsidR="00EC571B" w14:paraId="5D0B1B7F" w14:textId="77777777">
        <w:trPr>
          <w:jc w:val="center"/>
        </w:trPr>
        <w:tc>
          <w:tcPr>
            <w:tcW w:w="1987" w:type="dxa"/>
            <w:shd w:val="clear" w:color="auto" w:fill="F2F2F2"/>
            <w:tcMar>
              <w:top w:w="100" w:type="dxa"/>
              <w:left w:w="120" w:type="dxa"/>
              <w:bottom w:w="100" w:type="dxa"/>
              <w:right w:w="120" w:type="dxa"/>
            </w:tcMar>
          </w:tcPr>
          <w:p w14:paraId="6A05A264" w14:textId="77777777" w:rsidR="00EC571B" w:rsidRDefault="00000000">
            <w:pPr>
              <w:spacing w:after="0"/>
            </w:pPr>
            <w:r>
              <w:rPr>
                <w:b/>
                <w:color w:val="444444"/>
                <w:sz w:val="19"/>
              </w:rPr>
              <w:t>Title – signals focus, population, and context</w:t>
            </w:r>
          </w:p>
        </w:tc>
        <w:tc>
          <w:tcPr>
            <w:tcW w:w="7545" w:type="dxa"/>
            <w:tcMar>
              <w:top w:w="100" w:type="dxa"/>
              <w:left w:w="120" w:type="dxa"/>
              <w:bottom w:w="100" w:type="dxa"/>
              <w:right w:w="120" w:type="dxa"/>
            </w:tcMar>
          </w:tcPr>
          <w:p w14:paraId="7533BDF3" w14:textId="77777777" w:rsidR="00EC571B" w:rsidRDefault="00000000">
            <w:pPr>
              <w:spacing w:after="0" w:line="259" w:lineRule="auto"/>
            </w:pPr>
            <w:r>
              <w:rPr>
                <w:b/>
                <w:sz w:val="22"/>
              </w:rPr>
              <w:t>Mainstream Primary School Teachers’ Experiences of Adapting English Reading Instruction for Pupils with Dyslexia in Malaysian National Primary Schools</w:t>
            </w:r>
          </w:p>
        </w:tc>
      </w:tr>
      <w:tr w:rsidR="00EC571B" w14:paraId="671BB598" w14:textId="77777777">
        <w:trPr>
          <w:jc w:val="center"/>
        </w:trPr>
        <w:tc>
          <w:tcPr>
            <w:tcW w:w="1987" w:type="dxa"/>
            <w:shd w:val="clear" w:color="auto" w:fill="F2F2F2"/>
            <w:tcMar>
              <w:top w:w="100" w:type="dxa"/>
              <w:left w:w="120" w:type="dxa"/>
              <w:bottom w:w="100" w:type="dxa"/>
              <w:right w:w="120" w:type="dxa"/>
            </w:tcMar>
          </w:tcPr>
          <w:p w14:paraId="0E2AB9AC" w14:textId="77777777" w:rsidR="00EC571B" w:rsidRDefault="00000000">
            <w:pPr>
              <w:spacing w:after="0"/>
            </w:pPr>
            <w:r>
              <w:rPr>
                <w:b/>
                <w:color w:val="444444"/>
                <w:sz w:val="19"/>
              </w:rPr>
              <w:t>Introduction: broad SNE context → specific issue → lead-in to the research problem</w:t>
            </w:r>
          </w:p>
        </w:tc>
        <w:tc>
          <w:tcPr>
            <w:tcW w:w="7545" w:type="dxa"/>
            <w:tcMar>
              <w:top w:w="100" w:type="dxa"/>
              <w:left w:w="120" w:type="dxa"/>
              <w:bottom w:w="100" w:type="dxa"/>
              <w:right w:w="120" w:type="dxa"/>
            </w:tcMar>
          </w:tcPr>
          <w:p w14:paraId="1821A97E" w14:textId="77777777" w:rsidR="00EC571B" w:rsidRDefault="00000000">
            <w:pPr>
              <w:spacing w:after="120" w:line="259" w:lineRule="auto"/>
            </w:pPr>
            <w:r>
              <w:rPr>
                <w:b/>
                <w:sz w:val="22"/>
              </w:rPr>
              <w:t>1.1 Introduction / Background to the Study</w:t>
            </w:r>
          </w:p>
          <w:p w14:paraId="5E700E7A" w14:textId="77777777" w:rsidR="00EC571B" w:rsidRDefault="00000000">
            <w:pPr>
              <w:spacing w:after="80" w:line="259" w:lineRule="auto"/>
            </w:pPr>
            <w:r>
              <w:t>Inclusive education requires mainstream teachers to respond to the diverse learning needs of pupils in ordinary classrooms. In English lessons, reading is especially important because it supports access to classroom texts, vocabulary development, written work, and participation in many learning activities. Pupils with dyslexia may experience persistent difficulties with word recognition, spelling, reading fluency, or comprehension, although their needs and strengths vary from one pupil to another [cite].</w:t>
            </w:r>
          </w:p>
          <w:p w14:paraId="0BE85802" w14:textId="77777777" w:rsidR="00EC571B" w:rsidRDefault="00000000">
            <w:pPr>
              <w:spacing w:after="80" w:line="259" w:lineRule="auto"/>
            </w:pPr>
            <w:r>
              <w:t>Teachers may adapt reading instruction by adjusting materials, providing visual supports, allowing additional time, using structured practice, or offering alternative ways for pupils to demonstrate understanding. However, such adaptations can be difficult to sustain in mainstream classrooms, where teachers must address curriculum expectations while responding to a range of learner needs. The ways teachers make decisions about adaptations in their daily English reading lessons are therefore important to understand.</w:t>
            </w:r>
          </w:p>
          <w:p w14:paraId="6B84F79A" w14:textId="77777777" w:rsidR="00EC571B" w:rsidRDefault="00000000">
            <w:pPr>
              <w:spacing w:after="80" w:line="259" w:lineRule="auto"/>
            </w:pPr>
            <w:r>
              <w:t>However, little is known about how mainstream teachers make these adaptations in their daily English reading lessons, what makes them difficult to sustain, and what support teachers need. These questions lead to the problem statement in Section 1.2.</w:t>
            </w:r>
          </w:p>
        </w:tc>
      </w:tr>
      <w:tr w:rsidR="00EC571B" w14:paraId="7DE75C1B" w14:textId="77777777">
        <w:trPr>
          <w:jc w:val="center"/>
        </w:trPr>
        <w:tc>
          <w:tcPr>
            <w:tcW w:w="1987" w:type="dxa"/>
            <w:shd w:val="clear" w:color="auto" w:fill="F2F2F2"/>
            <w:tcMar>
              <w:top w:w="100" w:type="dxa"/>
              <w:left w:w="120" w:type="dxa"/>
              <w:bottom w:w="100" w:type="dxa"/>
              <w:right w:w="120" w:type="dxa"/>
            </w:tcMar>
          </w:tcPr>
          <w:p w14:paraId="2D1282BA" w14:textId="77777777" w:rsidR="00EC571B" w:rsidRDefault="00000000">
            <w:pPr>
              <w:spacing w:after="0"/>
            </w:pPr>
            <w:r>
              <w:rPr>
                <w:b/>
                <w:color w:val="444444"/>
                <w:sz w:val="19"/>
              </w:rPr>
              <w:t>Research Aim – derived directly from the gap</w:t>
            </w:r>
          </w:p>
        </w:tc>
        <w:tc>
          <w:tcPr>
            <w:tcW w:w="7545" w:type="dxa"/>
            <w:tcMar>
              <w:top w:w="100" w:type="dxa"/>
              <w:left w:w="120" w:type="dxa"/>
              <w:bottom w:w="100" w:type="dxa"/>
              <w:right w:w="120" w:type="dxa"/>
            </w:tcMar>
          </w:tcPr>
          <w:p w14:paraId="3A2DF2BC" w14:textId="77777777" w:rsidR="00EC571B" w:rsidRDefault="00000000">
            <w:pPr>
              <w:spacing w:after="120" w:line="259" w:lineRule="auto"/>
            </w:pPr>
            <w:r>
              <w:rPr>
                <w:b/>
                <w:sz w:val="22"/>
              </w:rPr>
              <w:t>1.2 Problem Statement and Research Aim</w:t>
            </w:r>
          </w:p>
          <w:p w14:paraId="0FC5F5FC" w14:textId="77777777" w:rsidR="00EC571B" w:rsidRDefault="00000000">
            <w:pPr>
              <w:spacing w:after="80" w:line="259" w:lineRule="auto"/>
            </w:pPr>
            <w:r>
              <w:rPr>
                <w:b/>
              </w:rPr>
              <w:t xml:space="preserve">Issue: </w:t>
            </w:r>
            <w:r>
              <w:t>Under Malaysia’s Zero Reject Policy (2019) and the Inclusive Education Programme, more pupils with dyslexia now learn in mainstream classes [cite]. Yet mainstream teachers report feeling underprepared to support them, and adaptations during reading lessons appear to be applied inconsistently [cite].</w:t>
            </w:r>
          </w:p>
          <w:p w14:paraId="387A764D" w14:textId="77777777" w:rsidR="00EC571B" w:rsidRDefault="00000000">
            <w:pPr>
              <w:spacing w:after="80" w:line="259" w:lineRule="auto"/>
            </w:pPr>
            <w:r>
              <w:rPr>
                <w:b/>
              </w:rPr>
              <w:lastRenderedPageBreak/>
              <w:t xml:space="preserve">Research Gap: </w:t>
            </w:r>
            <w:r>
              <w:t>Previous Malaysian studies of dyslexia have mainly examined teachers’ knowledge of and attitudes towards dyslexia, or the practices of special education teachers [cite]. Far less is known about how mainstream primary school teachers describe the adaptations they make during English reading instruction, the challenges they encounter, and the support they consider necessary.</w:t>
            </w:r>
          </w:p>
          <w:p w14:paraId="4D1932D3" w14:textId="77777777" w:rsidR="00EC571B" w:rsidRDefault="00000000">
            <w:pPr>
              <w:spacing w:after="80" w:line="259" w:lineRule="auto"/>
            </w:pPr>
            <w:r>
              <w:rPr>
                <w:b/>
              </w:rPr>
              <w:t xml:space="preserve">Significance: </w:t>
            </w:r>
            <w:r>
              <w:t>Without this contextual understanding, schools and teacher educators have limited guidance on the practical conditions that shape teachers’ efforts to support pupils with dyslexia during regular English reading lessons.</w:t>
            </w:r>
          </w:p>
          <w:p w14:paraId="5ABFB419" w14:textId="77777777" w:rsidR="00EC571B" w:rsidRDefault="00000000">
            <w:pPr>
              <w:spacing w:after="80" w:line="259" w:lineRule="auto"/>
            </w:pPr>
            <w:r>
              <w:rPr>
                <w:b/>
              </w:rPr>
              <w:t xml:space="preserve">Context: </w:t>
            </w:r>
            <w:r>
              <w:t>This issue is particularly relevant in Malaysian national primary schools, where English is taught as a second language. Pupils with dyslexia therefore meet reading difficulties in a language that is not their first, and teachers must balance individual support with whole-class instruction.</w:t>
            </w:r>
          </w:p>
          <w:p w14:paraId="076D0F0F" w14:textId="77777777" w:rsidR="00EC571B" w:rsidRDefault="00000000">
            <w:pPr>
              <w:spacing w:after="0" w:line="259" w:lineRule="auto"/>
            </w:pPr>
            <w:r>
              <w:rPr>
                <w:b/>
              </w:rPr>
              <w:t xml:space="preserve">Research Aim: </w:t>
            </w:r>
            <w:r>
              <w:t>Accordingly, this study aims to explore mainstream primary school teachers’ experiences of adapting English reading instruction for pupils with dyslexia.</w:t>
            </w:r>
          </w:p>
        </w:tc>
      </w:tr>
      <w:tr w:rsidR="00EC571B" w14:paraId="62FB1EE9" w14:textId="77777777">
        <w:trPr>
          <w:jc w:val="center"/>
        </w:trPr>
        <w:tc>
          <w:tcPr>
            <w:tcW w:w="1987" w:type="dxa"/>
            <w:shd w:val="clear" w:color="auto" w:fill="F2F2F2"/>
            <w:tcMar>
              <w:top w:w="100" w:type="dxa"/>
              <w:left w:w="120" w:type="dxa"/>
              <w:bottom w:w="100" w:type="dxa"/>
              <w:right w:w="120" w:type="dxa"/>
            </w:tcMar>
          </w:tcPr>
          <w:p w14:paraId="2FC577B6" w14:textId="77777777" w:rsidR="00EC571B" w:rsidRDefault="00000000">
            <w:pPr>
              <w:spacing w:after="0"/>
            </w:pPr>
            <w:r>
              <w:rPr>
                <w:b/>
                <w:color w:val="444444"/>
                <w:sz w:val="19"/>
              </w:rPr>
              <w:lastRenderedPageBreak/>
              <w:t>Derived from the research aim. Breaks the aim into manageable, researchable components</w:t>
            </w:r>
            <w:r>
              <w:rPr>
                <w:b/>
                <w:color w:val="444444"/>
                <w:sz w:val="19"/>
              </w:rPr>
              <w:br/>
            </w:r>
            <w:r>
              <w:rPr>
                <w:b/>
                <w:color w:val="444444"/>
                <w:sz w:val="19"/>
              </w:rPr>
              <w:br/>
              <w:t>Each objective uses one clear action verb</w:t>
            </w:r>
          </w:p>
        </w:tc>
        <w:tc>
          <w:tcPr>
            <w:tcW w:w="7545" w:type="dxa"/>
            <w:tcMar>
              <w:top w:w="100" w:type="dxa"/>
              <w:left w:w="120" w:type="dxa"/>
              <w:bottom w:w="100" w:type="dxa"/>
              <w:right w:w="120" w:type="dxa"/>
            </w:tcMar>
          </w:tcPr>
          <w:p w14:paraId="458E5D5B" w14:textId="77777777" w:rsidR="00EC571B" w:rsidRDefault="00000000">
            <w:pPr>
              <w:spacing w:after="100" w:line="259" w:lineRule="auto"/>
            </w:pPr>
            <w:r>
              <w:rPr>
                <w:b/>
                <w:sz w:val="22"/>
              </w:rPr>
              <w:t>1.3 Research Objectives</w:t>
            </w:r>
          </w:p>
          <w:p w14:paraId="01A0368B" w14:textId="77777777" w:rsidR="00EC571B" w:rsidRDefault="00000000">
            <w:pPr>
              <w:spacing w:after="80" w:line="259" w:lineRule="auto"/>
            </w:pPr>
            <w:r>
              <w:t>Based on the research aim, this study seeks to:</w:t>
            </w:r>
          </w:p>
          <w:p w14:paraId="7A5914BC" w14:textId="77777777" w:rsidR="00EC571B" w:rsidRDefault="00000000">
            <w:pPr>
              <w:spacing w:after="60" w:line="259" w:lineRule="auto"/>
            </w:pPr>
            <w:r>
              <w:t>1. Describe the adaptations that mainstream primary school teachers make during English reading instruction for pupils with dyslexia.</w:t>
            </w:r>
          </w:p>
          <w:p w14:paraId="467D70E0" w14:textId="77777777" w:rsidR="00EC571B" w:rsidRDefault="00000000">
            <w:pPr>
              <w:spacing w:after="60" w:line="259" w:lineRule="auto"/>
            </w:pPr>
            <w:r>
              <w:t>2. Identify the challenges that mainstream primary school teachers encounter when adapting English reading instruction for pupils with dyslexia.</w:t>
            </w:r>
          </w:p>
          <w:p w14:paraId="55601B10" w14:textId="77777777" w:rsidR="00EC571B" w:rsidRDefault="00000000">
            <w:pPr>
              <w:spacing w:after="60" w:line="259" w:lineRule="auto"/>
            </w:pPr>
            <w:r>
              <w:t>3. Explore the support that mainstream primary school teachers consider necessary for adapting English reading instruction for pupils with dyslexia.</w:t>
            </w:r>
          </w:p>
        </w:tc>
      </w:tr>
      <w:tr w:rsidR="00EC571B" w14:paraId="24D77E6C" w14:textId="77777777">
        <w:trPr>
          <w:jc w:val="center"/>
        </w:trPr>
        <w:tc>
          <w:tcPr>
            <w:tcW w:w="1987" w:type="dxa"/>
            <w:shd w:val="clear" w:color="auto" w:fill="F2F2F2"/>
            <w:tcMar>
              <w:top w:w="100" w:type="dxa"/>
              <w:left w:w="120" w:type="dxa"/>
              <w:bottom w:w="100" w:type="dxa"/>
              <w:right w:w="120" w:type="dxa"/>
            </w:tcMar>
          </w:tcPr>
          <w:p w14:paraId="56DDB246" w14:textId="77777777" w:rsidR="00EC571B" w:rsidRDefault="00000000">
            <w:pPr>
              <w:spacing w:after="0"/>
            </w:pPr>
            <w:r>
              <w:rPr>
                <w:b/>
                <w:color w:val="444444"/>
                <w:sz w:val="19"/>
              </w:rPr>
              <w:t>Translate objectives into answerable questions</w:t>
            </w:r>
            <w:r>
              <w:rPr>
                <w:b/>
                <w:color w:val="444444"/>
                <w:sz w:val="19"/>
              </w:rPr>
              <w:br/>
            </w:r>
            <w:r>
              <w:rPr>
                <w:b/>
                <w:color w:val="444444"/>
                <w:sz w:val="19"/>
              </w:rPr>
              <w:br/>
              <w:t>Explicit alignment: RQ1 ↔ Objective 1, etc.</w:t>
            </w:r>
          </w:p>
        </w:tc>
        <w:tc>
          <w:tcPr>
            <w:tcW w:w="7545" w:type="dxa"/>
            <w:tcMar>
              <w:top w:w="100" w:type="dxa"/>
              <w:left w:w="120" w:type="dxa"/>
              <w:bottom w:w="100" w:type="dxa"/>
              <w:right w:w="120" w:type="dxa"/>
            </w:tcMar>
          </w:tcPr>
          <w:p w14:paraId="120D1B46" w14:textId="77777777" w:rsidR="00EC571B" w:rsidRDefault="00000000">
            <w:pPr>
              <w:spacing w:after="100" w:line="259" w:lineRule="auto"/>
            </w:pPr>
            <w:r>
              <w:rPr>
                <w:b/>
                <w:sz w:val="22"/>
              </w:rPr>
              <w:t>1.4 Research Questions Aligned with the Research Objectives</w:t>
            </w:r>
          </w:p>
          <w:p w14:paraId="1BDBF8DD" w14:textId="77777777" w:rsidR="00EC571B" w:rsidRDefault="00000000">
            <w:pPr>
              <w:spacing w:after="80" w:line="259" w:lineRule="auto"/>
            </w:pPr>
            <w:r>
              <w:t>To achieve the above objectives, this study addresses the following research questions:</w:t>
            </w:r>
          </w:p>
          <w:p w14:paraId="60E7051C" w14:textId="77777777" w:rsidR="00EC571B" w:rsidRDefault="00000000">
            <w:pPr>
              <w:spacing w:after="60" w:line="259" w:lineRule="auto"/>
            </w:pPr>
            <w:r>
              <w:t>RQ1. How do mainstream primary school teachers describe the adaptations they make during English reading instruction for pupils with dyslexia?</w:t>
            </w:r>
          </w:p>
          <w:p w14:paraId="19BBE04F" w14:textId="77777777" w:rsidR="00EC571B" w:rsidRDefault="00000000">
            <w:pPr>
              <w:spacing w:after="60" w:line="259" w:lineRule="auto"/>
            </w:pPr>
            <w:r>
              <w:t>RQ2. What challenges do mainstream primary school teachers encounter when adapting English reading instruction for pupils with dyslexia?</w:t>
            </w:r>
          </w:p>
          <w:p w14:paraId="57990812" w14:textId="77777777" w:rsidR="00EC571B" w:rsidRDefault="00000000">
            <w:pPr>
              <w:spacing w:after="60" w:line="259" w:lineRule="auto"/>
            </w:pPr>
            <w:r>
              <w:t>RQ3. What support do mainstream primary school teachers consider necessary for adapting English reading instruction for pupils with dyslexia?</w:t>
            </w:r>
          </w:p>
        </w:tc>
      </w:tr>
      <w:tr w:rsidR="00EC571B" w14:paraId="41055E29" w14:textId="77777777">
        <w:trPr>
          <w:jc w:val="center"/>
        </w:trPr>
        <w:tc>
          <w:tcPr>
            <w:tcW w:w="1987" w:type="dxa"/>
            <w:shd w:val="clear" w:color="auto" w:fill="F2F2F2"/>
            <w:tcMar>
              <w:top w:w="100" w:type="dxa"/>
              <w:left w:w="120" w:type="dxa"/>
              <w:bottom w:w="100" w:type="dxa"/>
              <w:right w:w="120" w:type="dxa"/>
            </w:tcMar>
          </w:tcPr>
          <w:p w14:paraId="7A19AD94" w14:textId="77777777" w:rsidR="00EC571B" w:rsidRDefault="00000000">
            <w:pPr>
              <w:spacing w:after="0"/>
            </w:pPr>
            <w:r>
              <w:rPr>
                <w:b/>
                <w:color w:val="444444"/>
                <w:sz w:val="19"/>
              </w:rPr>
              <w:t>Explains why the study matters</w:t>
            </w:r>
          </w:p>
        </w:tc>
        <w:tc>
          <w:tcPr>
            <w:tcW w:w="7545" w:type="dxa"/>
            <w:tcMar>
              <w:top w:w="100" w:type="dxa"/>
              <w:left w:w="120" w:type="dxa"/>
              <w:bottom w:w="100" w:type="dxa"/>
              <w:right w:w="120" w:type="dxa"/>
            </w:tcMar>
          </w:tcPr>
          <w:p w14:paraId="4624F762" w14:textId="77777777" w:rsidR="00EC571B" w:rsidRDefault="00000000">
            <w:pPr>
              <w:spacing w:after="120" w:line="259" w:lineRule="auto"/>
            </w:pPr>
            <w:r>
              <w:rPr>
                <w:b/>
                <w:sz w:val="22"/>
              </w:rPr>
              <w:t>1.5 Significance of the Study</w:t>
            </w:r>
          </w:p>
          <w:p w14:paraId="133344BE" w14:textId="77777777" w:rsidR="00EC571B" w:rsidRDefault="00000000">
            <w:pPr>
              <w:spacing w:after="80" w:line="259" w:lineRule="auto"/>
            </w:pPr>
            <w:r>
              <w:t>This study may contribute to special needs education research by providing a contextual account of how mainstream primary school teachers adapt English reading instruction for pupils with dyslexia. It may deepen understanding of the practical choices teachers make when they seek to support participation in a regular classroom.</w:t>
            </w:r>
          </w:p>
          <w:p w14:paraId="30E0F435" w14:textId="77777777" w:rsidR="00EC571B" w:rsidRDefault="00000000">
            <w:pPr>
              <w:spacing w:after="0" w:line="259" w:lineRule="auto"/>
            </w:pPr>
            <w:r>
              <w:t xml:space="preserve">Practically, the findings may help teachers, learning-support staff, school leaders, and teacher educators identify areas in which guidance, resources, or professional learning could assist teachers. The study does not evaluate the effectiveness of a particular intervention or claim to solve reading difficulties. </w:t>
            </w:r>
            <w:r>
              <w:lastRenderedPageBreak/>
              <w:t>Rather, it contributes understanding of teachers’ experiences in a specific educational context.</w:t>
            </w:r>
          </w:p>
        </w:tc>
      </w:tr>
      <w:tr w:rsidR="00EC571B" w14:paraId="7CD409C0" w14:textId="77777777">
        <w:trPr>
          <w:jc w:val="center"/>
        </w:trPr>
        <w:tc>
          <w:tcPr>
            <w:tcW w:w="1987" w:type="dxa"/>
            <w:shd w:val="clear" w:color="auto" w:fill="F2F2F2"/>
            <w:tcMar>
              <w:top w:w="100" w:type="dxa"/>
              <w:left w:w="120" w:type="dxa"/>
              <w:bottom w:w="100" w:type="dxa"/>
              <w:right w:w="120" w:type="dxa"/>
            </w:tcMar>
          </w:tcPr>
          <w:p w14:paraId="05FA1A9F" w14:textId="77777777" w:rsidR="00EC571B" w:rsidRDefault="00000000">
            <w:pPr>
              <w:spacing w:after="0"/>
            </w:pPr>
            <w:r>
              <w:rPr>
                <w:b/>
                <w:color w:val="444444"/>
                <w:sz w:val="19"/>
              </w:rPr>
              <w:lastRenderedPageBreak/>
              <w:t>Scope, delimitations and limitations</w:t>
            </w:r>
            <w:r>
              <w:rPr>
                <w:b/>
                <w:color w:val="444444"/>
                <w:sz w:val="19"/>
              </w:rPr>
              <w:br/>
            </w:r>
            <w:r>
              <w:rPr>
                <w:b/>
                <w:color w:val="444444"/>
                <w:sz w:val="19"/>
              </w:rPr>
              <w:br/>
              <w:t>What the study includes (scope), the boundaries the researcher chose (delimitations), and constraints on how far the findings can be interpreted (limitations). Limitations are acknowledged realities, not flaws.</w:t>
            </w:r>
          </w:p>
        </w:tc>
        <w:tc>
          <w:tcPr>
            <w:tcW w:w="7545" w:type="dxa"/>
            <w:tcMar>
              <w:top w:w="100" w:type="dxa"/>
              <w:left w:w="120" w:type="dxa"/>
              <w:bottom w:w="100" w:type="dxa"/>
              <w:right w:w="120" w:type="dxa"/>
            </w:tcMar>
          </w:tcPr>
          <w:p w14:paraId="66DC036D" w14:textId="77777777" w:rsidR="00EC571B" w:rsidRDefault="00000000">
            <w:pPr>
              <w:spacing w:after="120" w:line="259" w:lineRule="auto"/>
            </w:pPr>
            <w:r>
              <w:rPr>
                <w:b/>
                <w:sz w:val="22"/>
              </w:rPr>
              <w:t>1.6 Scope, Delimitations and Limitations of the Study</w:t>
            </w:r>
          </w:p>
          <w:p w14:paraId="217C593F" w14:textId="77777777" w:rsidR="00EC571B" w:rsidRDefault="00000000">
            <w:pPr>
              <w:spacing w:after="40" w:line="259" w:lineRule="auto"/>
            </w:pPr>
            <w:r>
              <w:rPr>
                <w:b/>
              </w:rPr>
              <w:t>Scope and Delimitations</w:t>
            </w:r>
          </w:p>
          <w:p w14:paraId="3A7887E6" w14:textId="77777777" w:rsidR="00EC571B" w:rsidRDefault="00000000">
            <w:pPr>
              <w:spacing w:after="80" w:line="259" w:lineRule="auto"/>
            </w:pPr>
            <w:r>
              <w:t>This study focuses on Year 4–6 English teachers in national primary schools in one district of [state] who have at least one pupil identified with dyslexia in their class. The study is confined to English reading lessons, and data will be collected within one school term. These boundaries were chosen to keep the study feasible and to focus on the stage at which reading demands across the curriculum increase.</w:t>
            </w:r>
          </w:p>
          <w:p w14:paraId="3D025D5E" w14:textId="77777777" w:rsidR="00EC571B" w:rsidRDefault="00000000">
            <w:pPr>
              <w:spacing w:after="40" w:line="259" w:lineRule="auto"/>
            </w:pPr>
            <w:r>
              <w:rPr>
                <w:b/>
              </w:rPr>
              <w:t>Limitations</w:t>
            </w:r>
          </w:p>
          <w:p w14:paraId="1EC4BEAF" w14:textId="77777777" w:rsidR="00EC571B" w:rsidRDefault="00000000">
            <w:pPr>
              <w:spacing w:after="0" w:line="259" w:lineRule="auto"/>
            </w:pPr>
            <w:r>
              <w:t>The findings will be limited by the number and context of participating teachers and schools. They may therefore not represent the experiences of all mainstream teachers or all pupils with dyslexia. The study will also rely on teachers’ accounts of their practice, which may reflect individual interpretations, recall, and the conditions within their own classrooms.</w:t>
            </w:r>
          </w:p>
        </w:tc>
      </w:tr>
      <w:tr w:rsidR="00EC571B" w14:paraId="76FE6EC5" w14:textId="77777777">
        <w:trPr>
          <w:jc w:val="center"/>
        </w:trPr>
        <w:tc>
          <w:tcPr>
            <w:tcW w:w="1987" w:type="dxa"/>
            <w:shd w:val="clear" w:color="auto" w:fill="F2F2F2"/>
            <w:tcMar>
              <w:top w:w="100" w:type="dxa"/>
              <w:left w:w="120" w:type="dxa"/>
              <w:bottom w:w="100" w:type="dxa"/>
              <w:right w:w="120" w:type="dxa"/>
            </w:tcMar>
          </w:tcPr>
          <w:p w14:paraId="6D870435" w14:textId="77777777" w:rsidR="00EC571B" w:rsidRDefault="00000000">
            <w:pPr>
              <w:spacing w:after="0"/>
            </w:pPr>
            <w:r>
              <w:rPr>
                <w:b/>
                <w:color w:val="444444"/>
                <w:sz w:val="19"/>
              </w:rPr>
              <w:t>Clarifies how terms are used in this study</w:t>
            </w:r>
          </w:p>
        </w:tc>
        <w:tc>
          <w:tcPr>
            <w:tcW w:w="7545" w:type="dxa"/>
            <w:tcMar>
              <w:top w:w="100" w:type="dxa"/>
              <w:left w:w="120" w:type="dxa"/>
              <w:bottom w:w="100" w:type="dxa"/>
              <w:right w:w="120" w:type="dxa"/>
            </w:tcMar>
          </w:tcPr>
          <w:p w14:paraId="6FB95006" w14:textId="77777777" w:rsidR="00EC571B" w:rsidRDefault="00000000">
            <w:pPr>
              <w:spacing w:after="100" w:line="259" w:lineRule="auto"/>
            </w:pPr>
            <w:r>
              <w:rPr>
                <w:b/>
                <w:sz w:val="22"/>
              </w:rPr>
              <w:t>1.7 Definition of Terms</w:t>
            </w:r>
          </w:p>
          <w:p w14:paraId="333FF03D" w14:textId="77777777" w:rsidR="00EC571B" w:rsidRDefault="00000000">
            <w:pPr>
              <w:spacing w:after="80" w:line="259" w:lineRule="auto"/>
            </w:pPr>
            <w:r>
              <w:t>For the purposes of this study, the following terms are defined as used in the research context:</w:t>
            </w:r>
          </w:p>
          <w:p w14:paraId="36F029F4" w14:textId="77777777" w:rsidR="00EC571B" w:rsidRDefault="00000000">
            <w:pPr>
              <w:spacing w:after="80" w:line="259" w:lineRule="auto"/>
            </w:pPr>
            <w:r>
              <w:rPr>
                <w:b/>
              </w:rPr>
              <w:t xml:space="preserve">Mainstream primary school teachers: </w:t>
            </w:r>
            <w:r>
              <w:t>Teachers who teach English to regular classes in national primary schools, as distinct from special education teachers in Special Education Integrated Programme (PPKI) classes or special schools.</w:t>
            </w:r>
          </w:p>
          <w:p w14:paraId="36864EA8" w14:textId="77777777" w:rsidR="00EC571B" w:rsidRDefault="00000000">
            <w:pPr>
              <w:spacing w:after="80" w:line="259" w:lineRule="auto"/>
            </w:pPr>
            <w:r>
              <w:rPr>
                <w:b/>
              </w:rPr>
              <w:t xml:space="preserve">Pupils with dyslexia: </w:t>
            </w:r>
            <w:r>
              <w:t>Primary school pupils who have been identified as having dyslexia through a clinical assessment or the school’s screening and registration procedures. Dyslexia is understood as “a learning difficulty that primarily affects the skills involved in accurate and fluent word reading and spelling” (Rose, 2009). The term does not imply that all such pupils have the same needs or abilities.</w:t>
            </w:r>
          </w:p>
          <w:p w14:paraId="598454C7" w14:textId="77777777" w:rsidR="00EC571B" w:rsidRDefault="00000000">
            <w:pPr>
              <w:spacing w:after="80" w:line="259" w:lineRule="auto"/>
            </w:pPr>
            <w:r>
              <w:rPr>
                <w:b/>
              </w:rPr>
              <w:t xml:space="preserve">English reading instruction: </w:t>
            </w:r>
            <w:r>
              <w:t>Planned classroom teaching and learning activities intended to develop pupils’ ability to read and understand English texts.</w:t>
            </w:r>
          </w:p>
          <w:p w14:paraId="44B536A7" w14:textId="77777777" w:rsidR="00EC571B" w:rsidRDefault="00000000">
            <w:pPr>
              <w:spacing w:after="0" w:line="259" w:lineRule="auto"/>
            </w:pPr>
            <w:r>
              <w:rPr>
                <w:b/>
              </w:rPr>
              <w:t xml:space="preserve">Instructional adaptations: </w:t>
            </w:r>
            <w:r>
              <w:t>Deliberate adjustments that teachers make to materials, explanations, activities, pacing, or opportunities for participation in order to respond to pupils’ learning needs during English reading lessons.</w:t>
            </w:r>
          </w:p>
        </w:tc>
      </w:tr>
      <w:tr w:rsidR="00EC571B" w14:paraId="7C4F3957" w14:textId="77777777">
        <w:trPr>
          <w:jc w:val="center"/>
        </w:trPr>
        <w:tc>
          <w:tcPr>
            <w:tcW w:w="1987" w:type="dxa"/>
            <w:shd w:val="clear" w:color="auto" w:fill="F2F2F2"/>
            <w:tcMar>
              <w:top w:w="100" w:type="dxa"/>
              <w:left w:w="120" w:type="dxa"/>
              <w:bottom w:w="100" w:type="dxa"/>
              <w:right w:w="120" w:type="dxa"/>
            </w:tcMar>
          </w:tcPr>
          <w:p w14:paraId="19EC6E0F" w14:textId="77777777" w:rsidR="00EC571B" w:rsidRDefault="00000000">
            <w:pPr>
              <w:spacing w:after="0"/>
            </w:pPr>
            <w:r>
              <w:rPr>
                <w:b/>
                <w:color w:val="444444"/>
                <w:sz w:val="19"/>
              </w:rPr>
              <w:t>Chapter One summary</w:t>
            </w:r>
          </w:p>
        </w:tc>
        <w:tc>
          <w:tcPr>
            <w:tcW w:w="7545" w:type="dxa"/>
            <w:tcMar>
              <w:top w:w="100" w:type="dxa"/>
              <w:left w:w="120" w:type="dxa"/>
              <w:bottom w:w="100" w:type="dxa"/>
              <w:right w:w="120" w:type="dxa"/>
            </w:tcMar>
          </w:tcPr>
          <w:p w14:paraId="1E46FDE8" w14:textId="77777777" w:rsidR="00EC571B" w:rsidRDefault="00000000">
            <w:pPr>
              <w:spacing w:after="100" w:line="259" w:lineRule="auto"/>
            </w:pPr>
            <w:r>
              <w:rPr>
                <w:b/>
                <w:sz w:val="22"/>
              </w:rPr>
              <w:t>1.8 Chapter One Summary</w:t>
            </w:r>
          </w:p>
          <w:p w14:paraId="2487798F" w14:textId="77777777" w:rsidR="00EC571B" w:rsidRDefault="00000000">
            <w:pPr>
              <w:spacing w:after="0" w:line="259" w:lineRule="auto"/>
            </w:pPr>
            <w:r>
              <w:t>This chapter introduced the study context and identified the need to understand how mainstream primary school teachers adapt English reading instruction for pupils with dyslexia. It presented the problem statement, research aim, objectives, research questions, significance, scope, delimitations, limitations, and key terms. Chapter Two reviews relevant literature on dyslexia, inclusive English reading instruction, instructional adaptations, and teachers’ experiences in mainstream classrooms.</w:t>
            </w:r>
          </w:p>
        </w:tc>
      </w:tr>
    </w:tbl>
    <w:p w14:paraId="0657A902" w14:textId="77777777" w:rsidR="00D83F11" w:rsidRDefault="00D83F11"/>
    <w:sectPr w:rsidR="00D83F11" w:rsidSect="00034616">
      <w:footerReference w:type="default" r:id="rId8"/>
      <w:pgSz w:w="11906" w:h="16838"/>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04940" w14:textId="77777777" w:rsidR="00D83F11" w:rsidRDefault="00D83F11" w:rsidP="00502CC6">
      <w:pPr>
        <w:spacing w:after="0" w:line="240" w:lineRule="auto"/>
      </w:pPr>
      <w:r>
        <w:separator/>
      </w:r>
    </w:p>
  </w:endnote>
  <w:endnote w:type="continuationSeparator" w:id="0">
    <w:p w14:paraId="34A66F38" w14:textId="77777777" w:rsidR="00D83F11" w:rsidRDefault="00D83F11" w:rsidP="00502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323650"/>
      <w:docPartObj>
        <w:docPartGallery w:val="Page Numbers (Bottom of Page)"/>
        <w:docPartUnique/>
      </w:docPartObj>
    </w:sdtPr>
    <w:sdtEndPr>
      <w:rPr>
        <w:b/>
        <w:bCs/>
        <w:noProof/>
        <w:sz w:val="16"/>
        <w:szCs w:val="16"/>
      </w:rPr>
    </w:sdtEndPr>
    <w:sdtContent>
      <w:p w14:paraId="515594BE" w14:textId="2D78BBF6" w:rsidR="00502CC6" w:rsidRPr="00502CC6" w:rsidRDefault="00502CC6">
        <w:pPr>
          <w:pStyle w:val="Footer"/>
          <w:jc w:val="right"/>
          <w:rPr>
            <w:b/>
            <w:bCs/>
            <w:sz w:val="16"/>
            <w:szCs w:val="16"/>
          </w:rPr>
        </w:pPr>
        <w:r w:rsidRPr="00502CC6">
          <w:rPr>
            <w:b/>
            <w:bCs/>
            <w:sz w:val="16"/>
            <w:szCs w:val="16"/>
          </w:rPr>
          <w:fldChar w:fldCharType="begin"/>
        </w:r>
        <w:r w:rsidRPr="00502CC6">
          <w:rPr>
            <w:b/>
            <w:bCs/>
            <w:sz w:val="16"/>
            <w:szCs w:val="16"/>
          </w:rPr>
          <w:instrText xml:space="preserve"> PAGE   \* MERGEFORMAT </w:instrText>
        </w:r>
        <w:r w:rsidRPr="00502CC6">
          <w:rPr>
            <w:b/>
            <w:bCs/>
            <w:sz w:val="16"/>
            <w:szCs w:val="16"/>
          </w:rPr>
          <w:fldChar w:fldCharType="separate"/>
        </w:r>
        <w:r w:rsidRPr="00502CC6">
          <w:rPr>
            <w:b/>
            <w:bCs/>
            <w:noProof/>
            <w:sz w:val="16"/>
            <w:szCs w:val="16"/>
          </w:rPr>
          <w:t>2</w:t>
        </w:r>
        <w:r w:rsidRPr="00502CC6">
          <w:rPr>
            <w:b/>
            <w:bCs/>
            <w:noProof/>
            <w:sz w:val="16"/>
            <w:szCs w:val="16"/>
          </w:rPr>
          <w:fldChar w:fldCharType="end"/>
        </w:r>
      </w:p>
    </w:sdtContent>
  </w:sdt>
  <w:p w14:paraId="65230F82" w14:textId="77777777" w:rsidR="00502CC6" w:rsidRDefault="00502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9BA7" w14:textId="77777777" w:rsidR="00D83F11" w:rsidRDefault="00D83F11" w:rsidP="00502CC6">
      <w:pPr>
        <w:spacing w:after="0" w:line="240" w:lineRule="auto"/>
      </w:pPr>
      <w:r>
        <w:separator/>
      </w:r>
    </w:p>
  </w:footnote>
  <w:footnote w:type="continuationSeparator" w:id="0">
    <w:p w14:paraId="5160D2DA" w14:textId="77777777" w:rsidR="00D83F11" w:rsidRDefault="00D83F11" w:rsidP="00502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12260010">
    <w:abstractNumId w:val="8"/>
  </w:num>
  <w:num w:numId="2" w16cid:durableId="419058643">
    <w:abstractNumId w:val="6"/>
  </w:num>
  <w:num w:numId="3" w16cid:durableId="1918051858">
    <w:abstractNumId w:val="5"/>
  </w:num>
  <w:num w:numId="4" w16cid:durableId="399711726">
    <w:abstractNumId w:val="4"/>
  </w:num>
  <w:num w:numId="5" w16cid:durableId="1567303873">
    <w:abstractNumId w:val="7"/>
  </w:num>
  <w:num w:numId="6" w16cid:durableId="1739864733">
    <w:abstractNumId w:val="3"/>
  </w:num>
  <w:num w:numId="7" w16cid:durableId="1085879505">
    <w:abstractNumId w:val="2"/>
  </w:num>
  <w:num w:numId="8" w16cid:durableId="1328753986">
    <w:abstractNumId w:val="1"/>
  </w:num>
  <w:num w:numId="9" w16cid:durableId="124734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2CC6"/>
    <w:rsid w:val="005F3438"/>
    <w:rsid w:val="00AA1D8D"/>
    <w:rsid w:val="00B47730"/>
    <w:rsid w:val="00CB0664"/>
    <w:rsid w:val="00D83F11"/>
    <w:rsid w:val="00EC57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A0DEB"/>
  <w14:defaultImageDpi w14:val="300"/>
  <w15:docId w15:val="{445358E5-38A2-4923-8AB1-5BC048C98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Ranjit Gill</cp:lastModifiedBy>
  <cp:revision>2</cp:revision>
  <dcterms:created xsi:type="dcterms:W3CDTF">2013-12-23T23:15:00Z</dcterms:created>
  <dcterms:modified xsi:type="dcterms:W3CDTF">2026-10-19T08:19:00Z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38394afbd3c774418937ebe83dbf411a7cb70551c8c6f965d9f270909dc11269</vt:lpwstr>
  </property>
</Properties>
</file>