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910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sz w:val="24"/>
          <w:szCs w:val="24"/>
        </w:rPr>
      </w:pPr>
      <w:r>
        <w:rPr>
          <w:rFonts w:hint="default"/>
          <w:sz w:val="24"/>
          <w:szCs w:val="24"/>
        </w:rPr>
        <w:t>增强现实眼镜、助听设备与人工智能协同：</w:t>
      </w:r>
    </w:p>
    <w:p w14:paraId="5B41692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sz w:val="24"/>
          <w:szCs w:val="24"/>
        </w:rPr>
      </w:pPr>
      <w:r>
        <w:rPr>
          <w:rFonts w:hint="default"/>
          <w:sz w:val="24"/>
          <w:szCs w:val="24"/>
        </w:rPr>
        <w:t>面向听障学习者的多模态沟通支持及其在特殊教育中的应用进展与需求研究</w:t>
      </w:r>
    </w:p>
    <w:p w14:paraId="592792D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51213D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7806EF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摘要</w:t>
      </w:r>
    </w:p>
    <w:p w14:paraId="7508A93D">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听障学习者（deaf and hard-of-hearing, DHH）在课堂与日常生活中面临以听觉通道为中心的信息获取壁垒：言语接收受限、课堂字幕缺失、手语沟通资源不足，常导致其语言、读写与社会参与落后。随着增强现实（AR）眼镜、人工智能（AI）语音识别与空间音频处理、助听/人工耳蜗设备的协同发展，一种“语音→实时文字/图形符号→多通道反馈”的沟通支持路径正在成形。本文采用范围性系统综述与需求分析方法，检索并整合2021—2026年国内外实证研究、系统综述、技术报告与政策法规，重点考察三类技术及其协同：(a) 面向残存听力的AI助听与耳蜗设备；(b) AR眼镜的实时语音转写、字幕与手语/图形符号可视化；(c) 生成式AI将语义转化为象形图形（如“你要喝水吗”同步呈现文字与喝水图形）的多模态呈现。</w:t>
      </w:r>
    </w:p>
    <w:p w14:paraId="3B1B0CC0">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研究发现，现有证据支持AR与VR在DHH手语教学、词汇习得、言语训练与认知干预中具有中等且初步的积极效应：一项系统综述纳入22项沟通支持研究且其中68%聚焦手语等视觉非言语模态，一项课程对齐的AR多感官图书准实验在60名6—8岁听障儿童中取得 t(58)=6.305、p&lt;.001 的组间差异，一项普通话虚拟发音头像试点显示言语产出改善；但专项、大样本、长期随访的课堂研究仍稀缺。技术落地的核心需求可归纳为：以残存听力与助听设备为声学基础、以AR眼镜为“眼前字幕与符号层”、以AI语义图形生成为理解与泛化桥梁，并由特教教师主导个别化教育计划（IEP）与功能评估。本文据此提出“声学—视觉—符号—人际”四层协同模型与标准化实施流程，并设立独立伦理章节，讨论知情同意、视听与行为数据隐私、算法偏差、手语语言权与文化身份、XR眩晕与数字鸿沟等问题。结论主张：该集成系统应定位为“教师主导、人本优先”的沟通脚手架，而非对手语、口语康复或特教教师的替代；未来需在真实随班就读与资源教室场景中开展本土化、长期、参与式（co-design）实证研究。</w:t>
      </w:r>
    </w:p>
    <w:p w14:paraId="03FFCC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1ED7EE65">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关键词：增强现实；人工智能；听障；助听器；手语；图形符号；特殊教育；无障碍</w:t>
      </w:r>
    </w:p>
    <w:p w14:paraId="238B7D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186DF1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00D14C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Abstract</w:t>
      </w:r>
    </w:p>
    <w:p w14:paraId="4F815805">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Learners who are deaf or hard-of-hearing (DHH) encounter persistent auditory-centric barriers to information access, including limited speech reception, absent classroom captioning, and insufficient sign-language resources, which contribute to gaps in language, literacy, and social participation. The convergence of augmented-reality (AR) glasses, AI-driven speech recognition and spatial audio, and hearing-aid/cochlear-implant technology has given rise to a multimodal communication-support pathway: speech → real-time text/graphic symbols → multichannel feedback. Adopting a scoping review and needs-analysis design, this paper synthesizes empirical studies, systematic reviews, technical reports, and policy documents from 2021–2026, focusing on three converged technologies: (a) AI hearing assistance for residual hearing, (b) real-time captioning, sign-language, and symbolic visualization on AR glasses, and (c) generative-AI conversion of semantics into pictographic graphics (e.g., rendering “Do you want a drink?” as both text and a drinking pictogram).</w:t>
      </w:r>
    </w:p>
    <w:p w14:paraId="5883DADA">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Evidence supports moderate but preliminary positive effects of AR/VR for DHH sign-language instruction, vocabulary acquisition, speech training, and cognitive intervention (a systematic review of 22 studies, 68% of them targeting visual nonverbal modalities; a curriculum-aligned AR sensory-book quasi-experiment with n=60, t(58)=6.305, p&lt;.001; and a Mandarin virtual talking-head articulation pilot showing improved speech production). Yet well-powered, long-term, classroom-based, DHH-specific trials remain scarce. Core implementation needs are: residual hearing and hearing devices as the acoustic foundation; AR glasses as an in-situ captioning and symbol layer; AI-generated semantic graphics as a bridge to comprehension and generalization; and special-education teachers leading the IEP and functional assessment. This paper proposes an acoustic–visual–symbolic–interpersonal four-tier collaborative model and a standardized protocol, with an independent ethics chapter addressing informed consent, audiovisual/data privacy, algorithmic bias, sign-language rights and Deaf cultural identity, XR cybersickness, and the digital divide. The system should serve as a teacher-led, human-centered communication scaffold rather than a replacement for sign language, aural rehabilitation, or special educators. Future research should pursue localized, longitudinal, participatory studies in inclusive and resource-room settings.</w:t>
      </w:r>
    </w:p>
    <w:p w14:paraId="7A4CE6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7EB3D287">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Keywords: augmented reality; artificial intelligence; deaf and hard-of-hearing; hearing aids; sign language; graphic symbols; special education; accessibility</w:t>
      </w:r>
    </w:p>
    <w:p w14:paraId="38122D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br w:type="page"/>
      </w:r>
    </w:p>
    <w:p w14:paraId="5322EB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目录</w:t>
      </w:r>
    </w:p>
    <w:p w14:paraId="071A1C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摘要</w:t>
      </w:r>
    </w:p>
    <w:p w14:paraId="33D983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Abstract</w:t>
      </w:r>
    </w:p>
    <w:p w14:paraId="011693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第一章　绪论</w:t>
      </w:r>
    </w:p>
    <w:p w14:paraId="73AADA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1.1　研究背景与问题提出</w:t>
      </w:r>
    </w:p>
    <w:p w14:paraId="0E3EE6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1.2　研究目的与研究问题</w:t>
      </w:r>
    </w:p>
    <w:p w14:paraId="4797ED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1.3　研究方法与文献范围</w:t>
      </w:r>
    </w:p>
    <w:p w14:paraId="5554124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1.4　核心概念界定</w:t>
      </w:r>
    </w:p>
    <w:p w14:paraId="6758B2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第二章　理论基础与文献综述</w:t>
      </w:r>
    </w:p>
    <w:p w14:paraId="4D3DE3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2.1　听障学习者的沟通与学习需求</w:t>
      </w:r>
    </w:p>
    <w:p w14:paraId="2F77A2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2.2　AR/VR在听障教育中的应用进展</w:t>
      </w:r>
    </w:p>
    <w:p w14:paraId="7B7EF8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2.3　AI助听、人工耳蜗与残存听力的协同</w:t>
      </w:r>
    </w:p>
    <w:p w14:paraId="689DC2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2.4　AI语义图形与手语/符号多模态呈现</w:t>
      </w:r>
    </w:p>
    <w:p w14:paraId="29E2A6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2.5　国内外政策与无障碍标准</w:t>
      </w:r>
    </w:p>
    <w:p w14:paraId="40F2C66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第三章　“眼镜—耳机—AI图形”集成方法与技术架构</w:t>
      </w:r>
    </w:p>
    <w:p w14:paraId="780279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3.1　总体设计理念</w:t>
      </w:r>
    </w:p>
    <w:p w14:paraId="3B71BE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3.2　输入层：麦克风阵列、声源定位与助听信号处理</w:t>
      </w:r>
    </w:p>
    <w:p w14:paraId="760D29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3.3　处理层：ASR、NLP与语义图形生成</w:t>
      </w:r>
    </w:p>
    <w:p w14:paraId="274D13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3.4　输出层：AR字幕、手语 avatar 与图形符号</w:t>
      </w:r>
    </w:p>
    <w:p w14:paraId="13B442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3.5　控制层：IEP驱动的教师配置与隐私治理</w:t>
      </w:r>
    </w:p>
    <w:p w14:paraId="349BCD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第四章　应用进展：实证证据与需求分析</w:t>
      </w:r>
    </w:p>
    <w:p w14:paraId="34315F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4.1　实证文献概览</w:t>
      </w:r>
    </w:p>
    <w:p w14:paraId="03376D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4.2　需求一：面向残存听力的个性化声学支持</w:t>
      </w:r>
    </w:p>
    <w:p w14:paraId="66B1E1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4.3　需求二：实时、可定制、低延时的AR字幕</w:t>
      </w:r>
    </w:p>
    <w:p w14:paraId="68DDB13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4.4　需求三：AI生成图形符号降低语义门槛</w:t>
      </w:r>
    </w:p>
    <w:p w14:paraId="4851F11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4.5　需求四：教师主导的个别化与泛化教学</w:t>
      </w:r>
    </w:p>
    <w:p w14:paraId="4DEF19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第五章　伦理、权利与风险治理（独立章节）</w:t>
      </w:r>
    </w:p>
    <w:p w14:paraId="6502A3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5.1　知情同意与手语/图形知情同意</w:t>
      </w:r>
    </w:p>
    <w:p w14:paraId="5272DF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5.2　视听与行为数据隐私</w:t>
      </w:r>
    </w:p>
    <w:p w14:paraId="5384FF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5.3　算法偏差与识别失败风险</w:t>
      </w:r>
    </w:p>
    <w:p w14:paraId="671DCF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5.4　手语语言权、Deaf身份与技术殖民</w:t>
      </w:r>
    </w:p>
    <w:p w14:paraId="7A4D8C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5.5　XR健康风险、可及性与数字鸿沟</w:t>
      </w:r>
    </w:p>
    <w:p w14:paraId="6ABAC1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5.6　伦理治理原则与审查清单</w:t>
      </w:r>
    </w:p>
    <w:p w14:paraId="5861AA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第六章　“声学—视觉—符号—人际”协同模型与实施建议</w:t>
      </w:r>
    </w:p>
    <w:p w14:paraId="7200F2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6.1　四层协同模型</w:t>
      </w:r>
    </w:p>
    <w:p w14:paraId="076A75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6.2　标准化实施流程</w:t>
      </w:r>
    </w:p>
    <w:p w14:paraId="67B80F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6.3　中国本土与马来西亚跨文化场景展望</w:t>
      </w:r>
    </w:p>
    <w:p w14:paraId="5E41F6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第七章　研究局限与结论</w:t>
      </w:r>
    </w:p>
    <w:p w14:paraId="2E6E7C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参考文献</w:t>
      </w:r>
    </w:p>
    <w:p w14:paraId="38809C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4BF1A6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6A5BDA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第一章　绪论</w:t>
      </w:r>
    </w:p>
    <w:p w14:paraId="79DD9A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1.1　研究背景与问题提出</w:t>
      </w:r>
    </w:p>
    <w:p w14:paraId="50F41523">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听障并非单一的“听力损失”医学标签，而是同时涉及语言获取、教育安置、沟通方式与社会参与的复杂议题。世界卫生组织估计全球有超过4亿人经历致残性听力损失，其中儿童期的未干预听力损失会显著影响语言、读写与学业发展（World Health Organization, 2021）。词汇习得层面的证据同样支持这一判断：在虚拟快速词汇学习的对照实验中，听障幼儿虽然在接受性学习上与健听同龄人无显著差异，但在表达性产出上表现出不同的加工路径，提示“词形—指称”的映射过程需要专门的视觉与多模态支持（Werfel &amp; Lund, 2024）。在普通课堂与家庭互动中，DHH学习者常依赖视觉代偿——读唇、手语、字幕、图形——而当对话速度快、环境嘈杂、对方不懂手语时，沟通链即告断裂。一个值得追问的起点是：当信息原本以声音形式发出，技术能否在不改变“谁在说话”的前提下，把声音实时、准确、低负担地转化为DHH学习者可用的视觉与符号信息？</w:t>
      </w:r>
    </w:p>
    <w:p w14:paraId="1052E227">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三类技术的同时成熟使这一问题具备了现实可行性。第一，AI助听与人工耳蜗音频处理可通过深度神经网络实现环境分类、波束成形与个性化增益，为尚有残存听力的学习者保留声学通道；在完全因果（实时）运行且训练—测试条件刻意错配的严格设定下，深度学习降噪仍为听障听者带来平均51个百分点的言语可懂度提升（Healy et al., 2023），多麦克风深度学习算法则使人工耳蜗使用者的言语接收阈改善达7.4—10.3 dB（Gaultier &amp; Goehring, 2024）；我国《“人工智能+教育”行动计划》亦明确鼓励智能辅具研发（教育部等五部门，2026）。第二，轻量化AR眼镜可将实时转写、翻译与手语avatar叠加于佩戴者视场，实现“边看人、边看字”的自然沟通；针对特殊教育场景的定制化AR字幕界面研究已系统考察了字幕位置、转写错误可视化与高亮策略对理解与阅读速度的影响（Samaradivakara et al., 2024；Borna et al., 2024）。第三，大语言模型（LLM）与多模态生成模型可在语音识别之后，把语义进一步转译为象形图形、手语动作或简化的图文卡片，这正是用户设想的核心场景——“你要喝水吗”不仅显示文字，同时呈现一个“喝水”的图形；在手语侧，孤立式与连续式手语识别、手语翻译与手语生成（avatar动画）已形成较完整的技术谱系（Tao et al., 2024；Rastgoo et al., 2024；Toshpulatov et al., 2025）。三者若被有机整合，有望形成一个覆盖“听见—识别—理解—回应”的闭环。</w:t>
      </w:r>
    </w:p>
    <w:p w14:paraId="3CAA4330">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但技术可行不等于教育有效。现有AR/VR研究高度集中在手语教学与词汇训练：一项覆盖K-12特殊教育的系统综述显示，AR的积极效应虽被反复报告，但研究设计与结果测量高度异质（Chang et al., 2025）；针对非正规教育场景（博物馆、图书馆、社区项目）的范围综述仅纳入9篇文献，且普遍为小样本、短期设计（González-Afonso et al., 2026）。真正以“AI图形符号实时生成＋AR眼镜＋助听设备”为集成对象、并以日常沟通效率为结局指标的课堂研究极为有限。更关键的是，任何把“语音转文字”视为唯一答案的方案，都会无意识地边缘化以手语为母语的Deaf群体。因此本研究不预设“治愈”或“替代手语”，而是追问：这套集成系统能否作为一种可选的、增强自主性的沟通脚手架？</w:t>
      </w:r>
    </w:p>
    <w:p w14:paraId="3D788D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1.2　研究目的与研究问题</w:t>
      </w:r>
    </w:p>
    <w:p w14:paraId="4B3E8E77">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本研究目的在于系统梳理AR、AI与助听技术在DHH教育中的应用进展，厘清其技术需求、教育价值与伦理边界，并提出可落地的协同模型。据此提出四个研究问题：</w:t>
      </w:r>
    </w:p>
    <w:p w14:paraId="35F33269">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RQ1　面向残存听力的AI助听/耳蜗处理，如何与AR视觉输出协同，形成“声学优先、视觉补偿”的分层支持？</w:t>
      </w:r>
    </w:p>
    <w:p w14:paraId="6607D45D">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RQ2　AR眼镜的实时语音转写、字幕与手语/图形呈现，在真实课堂中的准确性、延时与可用性达到何种水平？</w:t>
      </w:r>
    </w:p>
    <w:p w14:paraId="3F2DEF43">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RQ3　AI将实时内容转化为图形符号（文字＋象形图）的机制，能在多大程度上降低语言与认知门槛？其失效条件是什么？</w:t>
      </w:r>
    </w:p>
    <w:p w14:paraId="5852E702">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RQ4　在“教师主导、人本优先”的框架下，如何设计兼顾手语语言权、数据隐私与中国—马来西亚跨文化情境的实施与伦理治理路径？</w:t>
      </w:r>
    </w:p>
    <w:p w14:paraId="416184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1.3　研究方法与文献范围</w:t>
      </w:r>
    </w:p>
    <w:p w14:paraId="624773FC">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本文为范围性系统综述（scoping review）与需求分析相结合的研究，不报告新的原始数据。文献检索覆盖2021—2026年的同行评议实证研究、系统综述、学位论文与技术/政策文件，核心来源包括PubMed、Web of Science、Scopus、IEEE、ACM、SpringerLink、开放获取平台，以及中国知网、台湾博硕士论文系统与马来西亚苏丹依德理斯教育大学（UPSI）出版物。检索主题围绕“AR/VR × DHH × 教育”“AI实时字幕/手语识别”“助听器/人工耳蜗 × AI”“多模态图形符号/PECS × 无障碍”展开。纳入标准为：(1) 研究对象含DHH儿童、青少年或成人学习者；(2) 涉及教育、沟通或康复场景；(3) 报告可核查的样本、设计或测量信息。为覆盖“国内—国外”与“技术—教育”两条线索，检索同时纳入了马来西亚苏丹依德理斯教育大学（UPSI）团队面向DHH词汇学习的AR多感官图书系统综述（Jin et al., 2026）与欧洲、北美、东南亚、西亚等区域的实证与技术报告。</w:t>
      </w:r>
    </w:p>
    <w:p w14:paraId="52F535D6">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为保证结论可追溯，本文的正文数值均标注来源，并遵循三级证据分层：系统综述与范围综述的结论（如Borna et al., 2024的22项研究、68%聚焦非言语沟通；Fernandes et al., 2024的26项研究；Jin et al., 2026的71项研究）用于描述证据结构而非效应量；准实验的效应值（如AR多感官图书 n=60、t(58)=6.305、p&lt;.001；Rahayu et al., 2024的 t=3.084、p&lt;.05）用于说明干预幅度；技术可行性指标（如Tantaroudas et al., 2025的N=10试点、满意度92%；Othman et al., 2024的N=40访谈）仅作为可接受性佐证，不与教育效果混同。这种“证据等级分层”是必要的：把技术原型可用性直接等同于临床/教育有效性，是现有文献最常见的推论越界。</w:t>
      </w:r>
    </w:p>
    <w:p w14:paraId="4E8593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1.4　核心概念界定</w:t>
      </w:r>
    </w:p>
    <w:p w14:paraId="38AB251A">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听障学习者（DHH）：涵盖从轻度到极重度听力损失、使用口语、手语或二者兼用的学习者；本文不把“deaf”与“Deaf（手语文化身份）”混为一谈。</w:t>
      </w:r>
    </w:p>
    <w:p w14:paraId="4B5487F4">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残存听力与助听通道：指通过助听器（HA）或人工耳蜗（CI）可获得的残余听觉信息；AI在此的作用是声源分离、降噪与个性化增益，而非“修复听力”。</w:t>
      </w:r>
    </w:p>
    <w:p w14:paraId="661C8305">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AR眼镜：以透视式（see-through）或手机/平板为显示载体的增强现实设备，在真实场景之上叠加字幕、手语avatar、图形符号与空间提示。</w:t>
      </w:r>
    </w:p>
    <w:p w14:paraId="1F7EBA65">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语义图形化（semantic pictograph generation）：由ASR＋NLP识别说话内容后，通过规则库、图标库或生成模型输出与文字同步的象形图/动画（如“喝水”“你要喝水吗”），以降低词汇与句法门槛，并与手语、书面语形成多模态冗余。</w:t>
      </w:r>
    </w:p>
    <w:p w14:paraId="429D5A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016B85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第二章　理论基础与文献综述</w:t>
      </w:r>
    </w:p>
    <w:p w14:paraId="2C2CBD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2.1　听障学习者的沟通与学习需求</w:t>
      </w:r>
    </w:p>
    <w:p w14:paraId="2501F4F8">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DHH学习者的信息获取具有鲜明的多通道代偿特征。在早期语言习得中，听觉输入的缺失若未被手语、视觉语言或助听支持及时补偿，往往造成词汇量滞后、句法复杂度不足与阅读理解困难；一项覆盖2021—2026年、纳入71项研究的系统综述显示，AR多感官图书之所以被持续开发，正是因为DHH儿童的情境化词义映射需要超越文字的感官通道（Jin et al., 2026）。这一现实提示：沟通支持不应只解决“听到声音”，还要解决“理解意义、参与互动”。虚拟快速词汇学习研究进一步表明，DHH儿童与健听儿童在“词形—指称”映射的最优条件上并不相同，照搬普通教育的干预设计可能低估其潜力（Werfel &amp; Lund, 2024）。从特殊教育的功能视角看，沟通行为具有明确的功能（表达需求、社交、获取信息、情感表达）；技术若只呈现字面文字，而未保留意图与情境线索，仍可能让学习者“读懂句子、错过含义”。</w:t>
      </w:r>
    </w:p>
    <w:p w14:paraId="6878D1A0">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这引出一个常被忽略的设计原则：字幕是必要但不充分的。口头语言中大量信息依赖语调、重音、停顿与共同注意；纯文本字幕会丢失这些线索。图形符号、手语姿态、表情与空间箭头能把“谁在说、在说什么、情绪如何、接下来做什么”同时编码，更接近DHH学习者的自然视觉认知方式。换言之，用户设想的“文字＋喝水图形”不是花哨的界面装饰，而是对“语义冗余呈现”这一教育需求的回应。</w:t>
      </w:r>
    </w:p>
    <w:p w14:paraId="301D27E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2.2　AR/VR在听障教育中的应用进展</w:t>
      </w:r>
    </w:p>
    <w:p w14:paraId="7C93E609">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Borna等人（2024）的系统综述遵循PRISMA流程，在PubMed、Web of Science、EMBASE与IEEE初筛5,981条记录，最终纳入22项研究，其中68%聚焦以手语与视觉线索为主的非言语沟通模态。描述性综合显示，AR/VR在手语教学、认知推理训练与言语知觉方面提供了初步积极证据。这一结构本身值得重视：研究热点明显偏向“教手语”与“教语言”，而针对真实课堂实时沟通的可及性研究偏少——这正是本研究的切入点。同类综述亦反复印证这一分布：一项纳入26项研究（2006—2020）的综述发现其中12项聚焦手语教学、4项聚焦数学，且60%采用基于标记（marker-based）的方案，同时报告了40%的研究出现头戴显示不适（Fernandes et al., 2024）；面向K-12特殊教育的AR系统综述虽肯定学习收益，却同样指出结果测量与设计异质（Chang et al., 2025）；非正规教育场景的范围综述仅析出9篇文献且证据多为探索性（González-Afonso et al., 2026）。</w:t>
      </w:r>
    </w:p>
    <w:p w14:paraId="4A6FC9E6">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在具体干预效果上，Alsharif et al.（2026）围绕AR多感官图书开展的准实验研究，在真实特教课堂以60名6—8岁听障儿童、四周干预进行前测—后测比较：实验组词汇得分提升7.00分（p&lt;.001），对照组仅提升1.13分（p=.244），组间 t(58)=6.305、p&lt;.001，且七类课程词汇均见改善。该研究的意义不止于效应量：它以课程对齐、多感官整合、教学脚手架与专家迭代验证为设计原则，提示“可复制的课程化AR设计”比孤立的炫技原型更接近教育落地。这一取向与Jin等人（2026）系统综述的结论一致：在71项研究中，真正与词汇成效相关的并非AR的“新奇性”，而是多感官一致性、情境嵌入与可重复的干预流程等设计特征。</w:t>
      </w:r>
    </w:p>
    <w:p w14:paraId="0E1674E0">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较早但常被引用的中国研究也提供了方法学参照。刘晓千等（2014）开发了基于虚拟三维发音人头像的普通话听障儿童言语训练系统，以电磁发音仪（EMA）与图形变换呈现发音器官运动，使用20个有意义普通话词进行试点，两名听障儿童的言语产出出现改善并被儿童接受。尽管样本极小，它证明了一个至今有效的思路：把不可见的发音过程可视化，比单纯“听—模仿”更适合听觉信息受限的学习者。这与今日AR眼镜把发音、口型、手势叠加于真实对话者面部的设想一脉相承。</w:t>
      </w:r>
    </w:p>
    <w:p w14:paraId="3FDC0843">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在沉浸式语言学习方面，Tantaroudas等人（2025，Open Research Europe）构建了集成六项AI服务的XR平台：语音转写（Whisper）、多语翻译（NLLB）、语音合成、情感分析、会话摘要，以及基于MediaPipe的国际手语（IS）手势映射到3D avatar。以750段手势视频构建数据集，在Meta Quest 3上开展N=10的伴生试点，报告平均体验评分4.6/5.0、满意度92%、100%用户要求扩展语言与手语支持。这些数据只能说明技术可行性与用户接受度，不能推出“提升语言能力”；但“跨模态＋模块化”的架构设计值得借鉴。来自海湾地区的接受度研究提供了更审慎的参照：40名DHH参与者（约占卡塔尔聋人人口的10%）对本土化手语avatar虽持积极态度，但明确不将其视为人工译员的替代品，并指出动作自然度与外形仍是关键可用性问题（Othman et al., 2024）。</w:t>
      </w:r>
    </w:p>
    <w:p w14:paraId="4C831494">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需要指出的是，来自东盟区域的校本实证正在补充这一证据版图。在泰国聋校开展的研究中，研究者为一年级听障学生开发AR图书并测得85.33/87的教学效率值，学习后测成绩显著高于前测（Ployjiw &amp; Chujai, 2023）；在印度尼西亚，基于AR的蛙泳学习模型使听障学生的动作技能显著优于传统教学组（t=3.084, p&lt;.05），但样本仅22人且未设长期随访（Rahayu et al., 2024）。这些研究的共同特征是：样本量有限、测量工具本土自制，但技术门槛低、与课程内容直接对齐，因而更适合在资源不均的多语地区先行落地。</w:t>
      </w:r>
    </w:p>
    <w:p w14:paraId="3C01B2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2.3　AI助听、人工耳蜗与残存听力的协同</w:t>
      </w:r>
    </w:p>
    <w:p w14:paraId="64F02BD8">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对尚有残存听力的学习者，视觉支持不应取代听觉通道，而应与之并行。伯尔尼大学ARTORG中心的研究（University of Bern, 2021）针对“鸡尾酒会问题”训练神经网络：利用65小时音频（78,000余个音频文件）优化波束成形，并引入AI计算的“额头虚拟麦克风”信号，20名受试者在主观与客观测量中，嘈杂场景言语质量显著提升。其核心启示是：助听设备若能先“听懂环境”，AR眼镜要处理的语音输入才更干净——声学层是视觉层的前提。近五年的算法进展使这一前提更为可靠：在训练与测试条件刻意错配、且算法完全因果化的严格条件下，注意力递归网络仍为听障听者带来平均51个百分点的可懂度增益（Healy et al., 2023）；多通道深度学习语音增强在真实助听器算力约束下实现了毫秒级延时，且双耳处理在复杂声学场景中优于单耳处理（Westhausen et al., 2024）；面向人工耳蜗使用者的多麦克风算法在嘈杂混响条件下取得10.3 dB的言语接收阈改善（Gaultier &amp; Goehring, 2024）。</w:t>
      </w:r>
    </w:p>
    <w:p w14:paraId="0DCD93B6">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因此在集成架构中，耳机/助听器承担“前端声学处理”：方向性麦克风与多麦克风阵列做声源定位，AI区分语音与噪声，输出经个性化增益后的残余听觉信号；AR眼镜则在“已被净化”的音频之上做识别、转写与图形化。二者通过低延时蓝牙/LE Audio连接，而非各自为战。需强调：此路径仅适用于有残存听力且已完成规范听力康复评估者；对于以手语为母语的Deaf学习者，声学通道是可选增强而非必要条件。</w:t>
      </w:r>
    </w:p>
    <w:p w14:paraId="7AEAF3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2.4　AI语义图形与手语/符号多模态呈现</w:t>
      </w:r>
    </w:p>
    <w:p w14:paraId="7DF82419">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用户所设想的“把‘你要喝水吗’变成文字＋喝水图形”，本质上包含三个环节：自动语音识别（ASR）→自然语言理解（NLU/语义角色标注）→符号渲染。技术可行性已有雏形：在手语侧，传统方法与深度学习方法已在孤立词识别、连续句识别与手语生成三个层次形成完整技术谱系（Tao et al., 2024；Alyami et al., 2024；Toshpulatov et al., 2025）；在手语生成与avatar动画侧，基于动作捕捉与神经渲染的方案已能输出较自然的连续手语，但表情与非手控语法信号的生成仍是公认难点（Rastgoo et al., 2024）；在字幕侧，以大语言模型对ASR输出做二次校正可把词错率从23.07%降至9.75%（Fathallah et al., 2024），这会直接改善下游语义解析与图形检索的输入质量。这些证据共同支持：视觉—文字—手势的对应关系是可习得的，但“生成什么图形、何时生成”必须由教学逻辑而非算法便利决定。</w:t>
      </w:r>
    </w:p>
    <w:p w14:paraId="0252721E">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图形符号的选择涉及关键的教育判断。常用的图形系统（如PECS、Boardmaker风格图标、文化本地象形图）各有词汇覆盖与抽象度局限。AI若采用端到端图像生成，可能出现“看似合理但语义错误”的幻觉图标——这在医疗、安全、课堂指令场景是不可接受的。手语生成领域的综述同样警示：当前模型在自然度、表现力与非手控信号上的差距，使其输出更接近“可读的近似”而非“可交付的翻译”（Rastgoo et al., 2024；Toshpulatov et al., 2025）。因此本文主张“受控图标库＋AI语义消歧”的混合方案：核心词汇、课堂指令、紧急提示使用经审校的标准化图标；开放性内容才调用生成模型，并在教师端显示置信度与备选解释，由人或手语译员兜底。</w:t>
      </w:r>
    </w:p>
    <w:p w14:paraId="38A17C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2.5　国内外政策与无障碍标准</w:t>
      </w:r>
    </w:p>
    <w:p w14:paraId="62C20523">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政策层面，国务院办公厅转发的《“十四五”特殊教育发展提升行动计划》（国办发〔2021〕60号）已提出到2025年适龄残疾儿童义务教育入学率达到97%、并推动普通教育、职业教育、医疗康复、信息技术与特殊教育深度融合（国务院办公厅，2021）；教育部等五部门印发《“人工智能+教育”行动计划》（教科信〔2026〕1号）鼓励智能辅具与智能学伴研发；教育部等七部门《特殊教育发展提升“十五五”行动计划》（教基〔2026〕9号）明确推进特殊教育数字化、探索人工智能与虚拟现实应用、强化大数据赋能（教育部等七部门，2026）。这些政策为人本、普惠的特殊教育技术提供了法理依据，但同时要求“以学生发展为本”，反对技术崇拜。</w:t>
      </w:r>
    </w:p>
    <w:p w14:paraId="1E0351F8">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权利层面，《残疾人权利公约》（CRPD）第9条要求可及的信息与通信，第21条强调以手语、字幕等形式保障信息平等获取；欧洲聋人联盟（European Union of the Deaf）强调AI与手语技术必须在设计、开发与部署各阶段与聋人及其代表组织协商（Venade, 2023）；该组织于2025年发布的《AI与手语伦理框架》进一步提出15条原则，核心主张是AI应作为包容的工具而非人工译员的替代、手语数据的采集与使用须经母语者知情同意并给予公平报酬、开发者须对手语数据的文化适配性负责（European Union of the Deaf, 2025）。技术标准层面，W3C《XR Accessibility User Requirements》（2023）明确提出：XR应支持符号作为默认沟通选项、允许关闭非关键动画、限制会话时长、提供可定制字幕位置与文本回流、避免诱发晕动症。这些规范意味着：无障碍不是产品做完后的“适配补丁”，而是架构的起始约束。</w:t>
      </w:r>
    </w:p>
    <w:p w14:paraId="0FD966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37EBDA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506D87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第三章　“眼镜—耳机—AI图形”集成方法与技术架构</w:t>
      </w:r>
    </w:p>
    <w:p w14:paraId="668EFE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3.1　总体设计理念</w:t>
      </w:r>
    </w:p>
    <w:p w14:paraId="2B5F4636">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整体架构遵循“分层、可逆、可接管”原则，分为输入、处理、输出、控制四层，并在每一层保留人工接管接口。系统不追求“全自动翻译”，而是把机器置于高频、标准化、可校验的环节，把歧义判断、情感支持与危机处置留给教师或手语译员。</w:t>
      </w:r>
    </w:p>
    <w:p w14:paraId="51438E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表1　“眼镜—耳机—AI图形”集成系统四层架构与职责</w:t>
      </w:r>
    </w:p>
    <w:tbl>
      <w:tblPr>
        <w:tblStyle w:val="11"/>
        <w:tblW w:w="93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00"/>
        <w:gridCol w:w="2600"/>
        <w:gridCol w:w="2600"/>
        <w:gridCol w:w="2600"/>
      </w:tblGrid>
      <w:tr w14:paraId="1D162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1500" w:type="dxa"/>
            <w:tcBorders>
              <w:top w:val="single" w:color="808080" w:sz="4" w:space="0"/>
              <w:left w:val="single" w:color="808080" w:sz="4" w:space="0"/>
              <w:bottom w:val="single" w:color="808080" w:sz="4" w:space="0"/>
              <w:right w:val="single" w:color="808080" w:sz="4" w:space="0"/>
            </w:tcBorders>
            <w:shd w:val="clear" w:color="auto" w:fill="D5E8F0"/>
            <w:tcMar>
              <w:top w:w="60" w:type="dxa"/>
              <w:left w:w="100" w:type="dxa"/>
              <w:bottom w:w="60" w:type="dxa"/>
              <w:right w:w="100" w:type="dxa"/>
            </w:tcMar>
          </w:tcPr>
          <w:p w14:paraId="2F90C2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层级</w:t>
            </w:r>
          </w:p>
        </w:tc>
        <w:tc>
          <w:tcPr>
            <w:tcW w:w="2600" w:type="dxa"/>
            <w:tcBorders>
              <w:top w:val="single" w:color="808080" w:sz="4" w:space="0"/>
              <w:left w:val="single" w:color="808080" w:sz="4" w:space="0"/>
              <w:bottom w:val="single" w:color="808080" w:sz="4" w:space="0"/>
              <w:right w:val="single" w:color="808080" w:sz="4" w:space="0"/>
            </w:tcBorders>
            <w:shd w:val="clear" w:color="auto" w:fill="D5E8F0"/>
            <w:tcMar>
              <w:top w:w="60" w:type="dxa"/>
              <w:left w:w="100" w:type="dxa"/>
              <w:bottom w:w="60" w:type="dxa"/>
              <w:right w:w="100" w:type="dxa"/>
            </w:tcMar>
          </w:tcPr>
          <w:p w14:paraId="20B4C2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核心组件</w:t>
            </w:r>
          </w:p>
        </w:tc>
        <w:tc>
          <w:tcPr>
            <w:tcW w:w="2600" w:type="dxa"/>
            <w:tcBorders>
              <w:top w:val="single" w:color="808080" w:sz="4" w:space="0"/>
              <w:left w:val="single" w:color="808080" w:sz="4" w:space="0"/>
              <w:bottom w:val="single" w:color="808080" w:sz="4" w:space="0"/>
              <w:right w:val="single" w:color="808080" w:sz="4" w:space="0"/>
            </w:tcBorders>
            <w:shd w:val="clear" w:color="auto" w:fill="D5E8F0"/>
            <w:tcMar>
              <w:top w:w="60" w:type="dxa"/>
              <w:left w:w="100" w:type="dxa"/>
              <w:bottom w:w="60" w:type="dxa"/>
              <w:right w:w="100" w:type="dxa"/>
            </w:tcMar>
          </w:tcPr>
          <w:p w14:paraId="67A9CF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教育职责</w:t>
            </w:r>
          </w:p>
        </w:tc>
        <w:tc>
          <w:tcPr>
            <w:tcW w:w="2600" w:type="dxa"/>
            <w:tcBorders>
              <w:top w:val="single" w:color="808080" w:sz="4" w:space="0"/>
              <w:left w:val="single" w:color="808080" w:sz="4" w:space="0"/>
              <w:bottom w:val="single" w:color="808080" w:sz="4" w:space="0"/>
              <w:right w:val="single" w:color="808080" w:sz="4" w:space="0"/>
            </w:tcBorders>
            <w:shd w:val="clear" w:color="auto" w:fill="D5E8F0"/>
            <w:tcMar>
              <w:top w:w="60" w:type="dxa"/>
              <w:left w:w="100" w:type="dxa"/>
              <w:bottom w:w="60" w:type="dxa"/>
              <w:right w:w="100" w:type="dxa"/>
            </w:tcMar>
          </w:tcPr>
          <w:p w14:paraId="19FC245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人工接管点</w:t>
            </w:r>
          </w:p>
        </w:tc>
      </w:tr>
      <w:tr w14:paraId="07FD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48EC0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输入层（声学）</w:t>
            </w:r>
          </w:p>
        </w:tc>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9B8A1F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方向性麦克风阵列、助听器/人工耳蜗、骨传导补声</w:t>
            </w:r>
          </w:p>
        </w:tc>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5CF317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采集并净化说话人语音，保留残存听力通道</w:t>
            </w:r>
          </w:p>
        </w:tc>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4EECC2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听力师校准增益；教师切换环境模式</w:t>
            </w:r>
          </w:p>
        </w:tc>
      </w:tr>
      <w:tr w14:paraId="14F6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8328A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处理层（语义）</w:t>
            </w:r>
          </w:p>
        </w:tc>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E1F31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ASR、NLU、说话人分离、图标/手语渲染引擎</w:t>
            </w:r>
          </w:p>
        </w:tc>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4FF7E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识别内容、消歧、生成文字＋图形＋手语</w:t>
            </w:r>
          </w:p>
        </w:tc>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31242C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低置信度时提示“需确认”，转人工</w:t>
            </w:r>
          </w:p>
        </w:tc>
      </w:tr>
      <w:tr w14:paraId="42DE4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5F8370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输出层（视觉）</w:t>
            </w:r>
          </w:p>
        </w:tc>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45A900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AR眼镜字幕、空间箭头、图形符号、手语avatar</w:t>
            </w:r>
          </w:p>
        </w:tc>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32CE88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以视觉冗余呈现语义与意图</w:t>
            </w:r>
          </w:p>
        </w:tc>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5BEAB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可关闭动画、切换手语/文字/图标偏好</w:t>
            </w:r>
          </w:p>
        </w:tc>
      </w:tr>
      <w:tr w14:paraId="1CD8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5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0B67E0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控制层（教学）</w:t>
            </w:r>
          </w:p>
        </w:tc>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078029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IEP配置、教师控制台、隐私与日志管理</w:t>
            </w:r>
          </w:p>
        </w:tc>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FFBAD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个别化目标、泛化教学、伦理治理</w:t>
            </w:r>
          </w:p>
        </w:tc>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3A6393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教师全程可暂停、回看、导出/删除数据</w:t>
            </w:r>
          </w:p>
        </w:tc>
      </w:tr>
    </w:tbl>
    <w:p w14:paraId="7BE3A6F9">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注：架构强调“机器做标准化呈现，人做理解与判断”；任何一层均可独立关闭，避免单点失效导致系统不可用。</w:t>
      </w:r>
    </w:p>
    <w:p w14:paraId="036CCE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3.2　输入层：麦克风阵列、声源定位与助听信号处理</w:t>
      </w:r>
    </w:p>
    <w:p w14:paraId="2D5D1076">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输入层面对的真实难题是课堂噪声与多说话人。一个实用的做法是“耳机先做声学增强、眼镜再做识别”：耳机端利用双/多麦克风波束成形锁定正前方说话人，AI区分语音、音乐、敲击与警报声；经助听增益后，一路送入佩戴者残余听觉通道，一路通过低延时链路传给眼镜端ASR。伯尔尼大学的“虚拟额头麦克风”研究表明，AI可在硬件受限下合成更优的方向性信号（University of Bern, 2021），这为眼镜形态的小型化提供了依据。工程侧的进展同样支持“先增强、后识别”的次序：多通道深度学习增强已被证明可在毫秒级延时预算内运行于助听器算力平台，且双耳协同优于单耳（Westhausen et al., 2024）；对人工耳蜗使用者而言，麦克风数量越多，算法在嘈杂混响条件下的收益越大（Gaultier &amp; Goehring, 2024）。</w:t>
      </w:r>
    </w:p>
    <w:p w14:paraId="73BCF0EA">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但必须承认局限：当多个学生同时发言、或教师背对学习者书写时，声源分离会失效。此时系统应诚实显示“无法识别说话人”，而非生成看似完整的错误字幕——错误字幕比无字幕更危险，因为它制造了“已经理解”的假象。</w:t>
      </w:r>
    </w:p>
    <w:p w14:paraId="18BCB1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3.3　处理层：ASR、NLP与语义图形生成</w:t>
      </w:r>
    </w:p>
    <w:p w14:paraId="59BF04B9">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处理层是整个系统的认知中枢。ASR需支持多语言与口音，并对儿童语音、快语速、专业术语做领域适配；NLU则负责把“你要喝水吗”解析为意图（询问需求）、实体（水）、动作（喝），再检索受控图标库中对应的“喝水”象形图。对于否定、隐喻、反问等抽象表达，图标渲染会失真，系统应降级为纯文字并标注“请确认”，而不是强行配图。</w:t>
      </w:r>
    </w:p>
    <w:p w14:paraId="02E98192">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生成图形的质量取决于语义消歧。以“喝水”为例，同一句话在不同语境下可能是“询问意愿”“下达指令”或“礼貌建议”，图形应配合箭头、问号、说话人标识来区分。这里正体现教师的价值：AI负责“把句子变成候选图形”，教师负责“把图形放进教学目标”。建议建立“课堂核心词表＋IEP个别词表”两级图标库，覆盖日常沟通、学科术语与紧急安全指令，并由语言治疗师与聋人社区共同审校。</w:t>
      </w:r>
    </w:p>
    <w:p w14:paraId="03C4086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3.4　输出层：AR字幕、手语 avatar 与图形符号</w:t>
      </w:r>
    </w:p>
    <w:p w14:paraId="152E0676">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输出层要同时满足“可见、可读、不打扰”。W3C的XR可访问性建议提供了具体参数：字幕区域可定制、文本可回流；关键UI元素尽量静止；允许关闭背景动画；设定沉浸式会话时长上限（W3C, 2023）。据此，AR界面宜采用：字幕锚定于说话人头顶或视线下方、字号与对比度可调、图形符号与文字并排、手语avatar置于对话伙伴一侧；紧急信息（火警、危险）以闪烁图标＋震动＋耳机提示做多通道冗余。</w:t>
      </w:r>
    </w:p>
    <w:p w14:paraId="14A4ACD5">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一个容易被忽视的设计点是“注视冲突”：佩戴者在看字幕时会移开对说话人脸部的注视，可能削弱读唇与自然互动。合理的字幕布局应让文字、手势、面孔处于相近视区，或提供“口语优先/字幕优先”的情境切换。塞浦路斯的两例真实课堂案例也提示：可穿戴AR眼镜在外观与社交接受度上曾令青少年不适，而平板端AR反而更受欢迎（Ioannou &amp; Constantinou, 2018）——可用性不能由工程师在实验室决定，必须让DHH学习者参与设计。面向特殊教育场景定制的AR字幕研究正是参与式设计的范例：其以焦点小组与半结构化访谈（8名DHH学生、2名聋教育教师）确定需求，再由24名DHH参与者迭代评估字幕位置、转写错误可视化与高亮策略（Samaradivakara et al., 2024）。此外，让健听对话伙伴也能看到字幕并接收反馈，被证明有助于维持对话的节奏与双向修复（Kang et al., 2024）。</w:t>
      </w:r>
    </w:p>
    <w:p w14:paraId="061631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3.5　控制层：IEP驱动的教师配置与隐私治理</w:t>
      </w:r>
    </w:p>
    <w:p w14:paraId="7CD9C678">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控制层是教师“掌舵”的位置：设定沟通目标（如“听懂课堂指令”“发起请求喝水”）、选择输出模态（文字/图标/手语）、安排泛化练习、查看经脱敏的行为日志。任何自动生成的图形都需在教师端显示来源与置信度，教师可一键纠正并沉淀为个人或班级词库。控制层同时也是伦理闸门（详见第五章）：知情同意、录制开关、数据最小化、时长提醒均在此统一配置。</w:t>
      </w:r>
    </w:p>
    <w:p w14:paraId="418150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30F695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第四章　应用进展：实证证据与需求分析</w:t>
      </w:r>
    </w:p>
    <w:p w14:paraId="5A52F8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4.1　实证文献概览</w:t>
      </w:r>
    </w:p>
    <w:p w14:paraId="44FCBF11">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下表按证据类型归纳与本研究相关的代表性研究，以说明“进展”与“缺口”并存的现状（均为公开可得文献，具体效应不跨研究直接比较）。</w:t>
      </w:r>
    </w:p>
    <w:p w14:paraId="0B101A4D">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表2　代表性实证与技术研究概览（2021—2026，含经典参照）</w:t>
      </w:r>
    </w:p>
    <w:tbl>
      <w:tblPr>
        <w:tblStyle w:val="11"/>
        <w:tblW w:w="92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395"/>
        <w:gridCol w:w="920"/>
        <w:gridCol w:w="2195"/>
        <w:gridCol w:w="3716"/>
      </w:tblGrid>
      <w:tr w14:paraId="5A081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400" w:type="dxa"/>
            <w:tcBorders>
              <w:top w:val="single" w:color="808080" w:sz="4" w:space="0"/>
              <w:left w:val="single" w:color="808080" w:sz="4" w:space="0"/>
              <w:bottom w:val="single" w:color="808080" w:sz="4" w:space="0"/>
              <w:right w:val="single" w:color="808080" w:sz="4" w:space="0"/>
            </w:tcBorders>
            <w:shd w:val="clear" w:color="auto" w:fill="D5E8F0"/>
            <w:tcMar>
              <w:top w:w="60" w:type="dxa"/>
              <w:left w:w="100" w:type="dxa"/>
              <w:bottom w:w="60" w:type="dxa"/>
              <w:right w:w="100" w:type="dxa"/>
            </w:tcMar>
          </w:tcPr>
          <w:p w14:paraId="1853BB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研究</w:t>
            </w:r>
          </w:p>
        </w:tc>
        <w:tc>
          <w:tcPr>
            <w:tcW w:w="900" w:type="dxa"/>
            <w:tcBorders>
              <w:top w:val="single" w:color="808080" w:sz="4" w:space="0"/>
              <w:left w:val="single" w:color="808080" w:sz="4" w:space="0"/>
              <w:bottom w:val="single" w:color="808080" w:sz="4" w:space="0"/>
              <w:right w:val="single" w:color="808080" w:sz="4" w:space="0"/>
            </w:tcBorders>
            <w:shd w:val="clear" w:color="auto" w:fill="D5E8F0"/>
            <w:tcMar>
              <w:top w:w="60" w:type="dxa"/>
              <w:left w:w="100" w:type="dxa"/>
              <w:bottom w:w="60" w:type="dxa"/>
              <w:right w:w="100" w:type="dxa"/>
            </w:tcMar>
          </w:tcPr>
          <w:p w14:paraId="3F2210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样本/范围</w:t>
            </w:r>
          </w:p>
        </w:tc>
        <w:tc>
          <w:tcPr>
            <w:tcW w:w="2200" w:type="dxa"/>
            <w:tcBorders>
              <w:top w:val="single" w:color="808080" w:sz="4" w:space="0"/>
              <w:left w:val="single" w:color="808080" w:sz="4" w:space="0"/>
              <w:bottom w:val="single" w:color="808080" w:sz="4" w:space="0"/>
              <w:right w:val="single" w:color="808080" w:sz="4" w:space="0"/>
            </w:tcBorders>
            <w:shd w:val="clear" w:color="auto" w:fill="D5E8F0"/>
            <w:tcMar>
              <w:top w:w="60" w:type="dxa"/>
              <w:left w:w="100" w:type="dxa"/>
              <w:bottom w:w="60" w:type="dxa"/>
              <w:right w:w="100" w:type="dxa"/>
            </w:tcMar>
          </w:tcPr>
          <w:p w14:paraId="4881F9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干预或技术</w:t>
            </w:r>
          </w:p>
        </w:tc>
        <w:tc>
          <w:tcPr>
            <w:tcW w:w="3726" w:type="dxa"/>
            <w:tcBorders>
              <w:top w:val="single" w:color="808080" w:sz="4" w:space="0"/>
              <w:left w:val="single" w:color="808080" w:sz="4" w:space="0"/>
              <w:bottom w:val="single" w:color="808080" w:sz="4" w:space="0"/>
              <w:right w:val="single" w:color="808080" w:sz="4" w:space="0"/>
            </w:tcBorders>
            <w:shd w:val="clear" w:color="auto" w:fill="D5E8F0"/>
            <w:tcMar>
              <w:top w:w="60" w:type="dxa"/>
              <w:left w:w="100" w:type="dxa"/>
              <w:bottom w:w="60" w:type="dxa"/>
              <w:right w:w="100" w:type="dxa"/>
            </w:tcMar>
          </w:tcPr>
          <w:p w14:paraId="280D53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主要发现与局限</w:t>
            </w:r>
          </w:p>
        </w:tc>
      </w:tr>
      <w:tr w14:paraId="6F10B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E9E75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Borna et al. (2024)，系统综述</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46B3FA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22项（5981条初筛）</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35760A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AR/VR沟通支持</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DC695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68%聚焦手语/视觉非言语模态；初步积极证据；需大样本多样样本</w:t>
            </w:r>
          </w:p>
        </w:tc>
      </w:tr>
      <w:tr w14:paraId="516D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500B1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Alsharif et al. (2026)</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61E66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60名6—8岁DHH儿童，4周</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564A65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课程对齐AR多感官图书</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C0337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实验组词汇+7.00 (p&lt;.001)，对照+1.13 (p=.244)，t(58)=6.305</w:t>
            </w:r>
          </w:p>
        </w:tc>
      </w:tr>
      <w:tr w14:paraId="64EB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3DE1CC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刘晓千等 (2014)</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364477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2名听障儿童，试点</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AB084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VR三维发音头像＋EMA</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13F90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言语产出改善、儿童接受度高；样本极小</w:t>
            </w:r>
          </w:p>
        </w:tc>
      </w:tr>
      <w:tr w14:paraId="03B94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39691D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Tantaroudas et al. (2025)</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2F9AD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N=10伴生试点</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6CD522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XR六项AI服务＋手语avatar</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4B4B60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满意度92%、评分4.6/5；可行性而非教育效果证据</w:t>
            </w:r>
          </w:p>
        </w:tc>
      </w:tr>
      <w:tr w14:paraId="09AAF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958B6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University of Bern (2021)</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00186B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20名受试者</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AEB36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虚拟麦克风＋神经网络波束成形</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33106F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鸡尾酒会场景言语质量提升；仍处可行性阶段</w:t>
            </w:r>
          </w:p>
        </w:tc>
      </w:tr>
      <w:tr w14:paraId="125D3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F311A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Ioannou &amp; Constantinou (2018)，课堂案例</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3DEE70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2个案例（青少年/小学生）</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E8EEBD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可穿戴AR眼镜 vs. 平板AR</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E744D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即时反馈价值获认可；眼镜外观接受度成障碍</w:t>
            </w:r>
          </w:p>
        </w:tc>
      </w:tr>
      <w:tr w14:paraId="2C91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93DDD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Fernandes et al. (2024)，系统综述</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28177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26项（1694条初筛）</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66389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AR支持DHH学习</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E2265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12项聚焦手语、4项数学；60%基于标记；40%报告头戴不适</w:t>
            </w:r>
          </w:p>
        </w:tc>
      </w:tr>
      <w:tr w14:paraId="77719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6547F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Chang et al. (2025)，系统综述</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58F6B4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K-12特殊教育</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D236A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AR对学习成效的影响</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3DF8F1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积极效应被反复报告；设计与测量异质，需更严谨对照</w:t>
            </w:r>
          </w:p>
        </w:tc>
      </w:tr>
      <w:tr w14:paraId="7C6FF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2BFF2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Jin et al. (2026)，系统综述</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E8E05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71项（862条＋滚雪球）</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8046F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AR多感官图书×词汇</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4D69D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成效相关的是情境嵌入、多感官一致与可复现流程</w:t>
            </w:r>
          </w:p>
        </w:tc>
      </w:tr>
      <w:tr w14:paraId="2EAD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DAC88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Werfel &amp; Lund (2024)</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440241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28名幼儿（14 DHH/14 TH）</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32C55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虚拟快速词汇学习</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559E8A1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DHH组在一般身体活动条件表达性产出更优；组×条件交互显著</w:t>
            </w:r>
          </w:p>
        </w:tc>
      </w:tr>
      <w:tr w14:paraId="3AC1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07008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Ployjiw &amp; Chujai (2023)</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4670B83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10名一年级听障学生</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DAA0D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AR图书＋手语</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C0DF2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教学效率85.33/87；后测显著高于前测；样本极小</w:t>
            </w:r>
          </w:p>
        </w:tc>
      </w:tr>
      <w:tr w14:paraId="7603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C36FD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Rahayu et al. (2024)</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C5BF2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22名听障学生</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41592B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AR蛙泳学习模型</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92443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实验组优于对照组（t=3.084, p&lt;.05）；运动技能领域证据</w:t>
            </w:r>
          </w:p>
        </w:tc>
      </w:tr>
      <w:tr w14:paraId="1CD51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838DF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Healy et al. (2023)</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6D4D6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听障成人听众</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3532C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因果深度学习降噪</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2A22D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因果实时条件下可懂度平均提升51个百分点</w:t>
            </w:r>
          </w:p>
        </w:tc>
      </w:tr>
      <w:tr w14:paraId="5612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6BFA1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Gaultier &amp; Goehring (2024)</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A8CF9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12名CI使用者＋15名模拟</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85602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多麦克风深度学习增强</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545D53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言语接收阈改善7.4—10.3 dB；麦克风数越多收益越大</w:t>
            </w:r>
          </w:p>
        </w:tc>
      </w:tr>
      <w:tr w14:paraId="61396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95C3C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Samaradivakara et al. (2024)</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FBEBE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8＋24名DHH参与者</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5A1AB9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定制化实时AR字幕界面</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67542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字幕位置、错误可视化与高亮策略影响理解与偏好</w:t>
            </w:r>
          </w:p>
        </w:tc>
      </w:tr>
      <w:tr w14:paraId="60B5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4EF0F0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Othman et al. (2024)</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E797B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40名DHH访谈</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94967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本土化手语avatar</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AB93A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态度积极但不视为人工译员替代；动作与外形为主要问题</w:t>
            </w:r>
          </w:p>
        </w:tc>
      </w:tr>
      <w:tr w14:paraId="6D913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3C180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Fathallah et al. (2024)</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4EE1486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视频字幕语料</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355691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LLM校正ASR字幕</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45C60C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词错率23.07%→9.75%；尚未在课堂实时场景验证</w:t>
            </w:r>
          </w:p>
        </w:tc>
      </w:tr>
      <w:tr w14:paraId="76E8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4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4C82220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Ioannou &amp; Constantinou (2018)</w:t>
            </w:r>
          </w:p>
        </w:tc>
        <w:tc>
          <w:tcPr>
            <w:tcW w:w="9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3FBE7A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2个课堂案例</w:t>
            </w:r>
          </w:p>
        </w:tc>
        <w:tc>
          <w:tcPr>
            <w:tcW w:w="22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58C054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可穿戴AR眼镜 vs. 平板AR</w:t>
            </w:r>
          </w:p>
        </w:tc>
        <w:tc>
          <w:tcPr>
            <w:tcW w:w="3726"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393724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 xml:space="preserve">眼镜即时反馈受认可但外观令青少年不适；平板端更受欢迎</w:t>
            </w:r>
          </w:p>
        </w:tc>
      </w:tr>
    </w:tbl>
    <w:p w14:paraId="5E66C0C0">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注：系统综述与准实验的证据等级高于技术原型试点；后者的用户接受度指标不可直接解释为学习成效。</w:t>
      </w:r>
    </w:p>
    <w:p w14:paraId="6B3F07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4.3　需求一：面向残存听力的个性化声学支持</w:t>
      </w:r>
    </w:p>
    <w:p w14:paraId="6B9BCA89">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第一项需求是把“是否利用残存听力”作为个别化决策的起点。对于助听器或人工耳蜗使用者，AI声学增强是降低后续识别错误率的基础——在因果实时约束下仍可获得约51个百分点的可懂度增益（Healy et al., 2023），而多麦克风与双耳协同策略能进一步扩大嘈杂混响环境下的收益（Westhausen et al., 2024；Gaultier &amp; Goehring, 2024）；对于无残余听觉或偏好手语者，则可跳过声学层、直接进入视觉层。IEP应明确记录听力图、设备使用状况、首选沟通方式，避免“人人都戴耳机”的一刀切。</w:t>
      </w:r>
    </w:p>
    <w:p w14:paraId="23A171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4.4　需求二：实时、可定制、低延时的AR字幕</w:t>
      </w:r>
    </w:p>
    <w:p w14:paraId="3D6EAD88">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第二项需求是字幕的准确性与低延时。真实课堂对ASR的挑战远高于演示场景：多人对话、专业术语、口音、噪声都会抬高词错率（WER）。系统应提供“转写置信度可视化”与“请重复/换种说法”的沟通修复提示，并把字幕与说话人身份、语气（疑问/命令/感叹）共同编码。两条技术路径值得纳入：其一是以大语言模型对ASR原始输出做上下文校正，实测可将词错率由23.07%降至9.75%（Fathallah et al., 2024）；其二是把字幕界面的控制权交还给学习者，允许其自行设定字幕位置、错误呈现方式与高亮强度（Samaradivakara et al., 2024），并让对话伙伴获得字幕反馈以共同维持沟通节奏（Kang et al., 2024）。W3C的XR规范所要求的文本回流、可关闭动画与可定制位置，是保证字幕真正可用的底线（W3C, 2023）。</w:t>
      </w:r>
    </w:p>
    <w:p w14:paraId="63A52DC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4.5　需求三：AI生成图形符号降低语义门槛</w:t>
      </w:r>
    </w:p>
    <w:p w14:paraId="28A673CA">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第三项需求即用户设想的核心：以图形把抽象语言具象化。其价值在于让词汇有限、句法尚在发展的学习者也能把握核心语义（“喝水”），并可延伸至“喝水—杯子—厨房—请求帮助”的概念网络。但需求不等于无条件采用——图形最适合表达具体动作与高频沟通功能，对抽象、情感与反讽易产生误读。因此应实行“具体词优先图标、抽象句降级文字、疑义处请求确认”的三档策略。手语生成研究的启示在此同样适用：当模型对语法与非手控信号的把握不足时，输出的可理解性会随使用者的语言习得背景而分化，因而“降级呈现＋人工确认”应被写入默认策略而非例外处理（Rastgoo et al., 2024；Toshpulatov et al., 2025）。</w:t>
      </w:r>
    </w:p>
    <w:p w14:paraId="48815CDB">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进一步看，图形转译的成败取决于“符号系统是否与学习者既有沟通方式兼容”。对以手语为母语的Deaf学习者，图形应与手语动作顺序、 classifier 结构对应，而非简单照搬书面语的线性排列；对使用口语与听力的学习者，图形可充当词汇与句法的视觉支架；对兼有智力或发展性障碍的听障者，则需更大的图标、更少的同屏信息量与更强的实物对应。换言之，同一套“文字＋图形”界面在不同沟通身份面前并非天然普适——这正是IEP个别化配置的必要性，也解释了为何统一化的商业App难以直接替代教师评估。</w:t>
      </w:r>
    </w:p>
    <w:p w14:paraId="6DF4C952">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还需追问一个反例：当AI生成了“看似合理”却语义错误的图标时，谁来发现？现有生成模型在开放词汇上仍存在幻觉倾向，而课堂指令（如“把红笔放下”“下课去操场”）的错误图形可能引发安全问题。因此图形渲染必须遵循“受控优先、生成兜底、置信度可见、教师可回滚”的工程原则：核心安全词、课堂高频指令采用经审校的固定图标；开放内容才启用生成模型；置信度低于阈值的输出自动降级为纯文字并提示“请确认”；教师可在控制台一键回滚至上一版正确图标。在沟通辅助系统中，“宁可少显示、不可错显示”应成为安全底线。</w:t>
      </w:r>
    </w:p>
    <w:p w14:paraId="516D21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4.6　需求四：教师主导的个别化与泛化教学</w:t>
      </w:r>
    </w:p>
    <w:p w14:paraId="3D141F53">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第四项需求也是最易被技术叙事淹没的一点：泛化。无论AR眼镜在设备端做到多准确，若学习者不能在摘下眼镜后理解同伴的书面语、手语或口语，干预就没有完成社会迁移。Alsharif等人（2026）的研究之所以值得借鉴，正在于其课程对齐与教师参与的设计；系统综述亦提示缺少真人泛化设计时效应会衰减，证据基础整体仍属初步（Borna et al., 2024；Fernandes et al., 2024；Jin et al., 2026）。更值得注意的是，DHH儿童的最优学习条件未必等同于健听儿童，泛化练习的设计必须基于评估而非直觉（Werfel &amp; Lund, 2024）。因此教师需在每次人机互动后立即组织真人场景的角色扮演、同伴互动与家庭延伸。</w:t>
      </w:r>
    </w:p>
    <w:p w14:paraId="0487B6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4.7　以“喝水”为范例的语义图形转译教学设计</w:t>
      </w:r>
    </w:p>
    <w:p w14:paraId="1895BC58">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为把前述需求落到可操作的课堂单元，本节以用户设想的核心例句“你要喝水吗”为例，完整拆解从语音输入到多模态输出的转译过程，并说明每一步的教学决策。这一范例的价值在于：它把抽象的“AI生成图形”转化为可评估、可纠错的教学序列，而非黑箱式的一次性呈现。</w:t>
      </w:r>
    </w:p>
    <w:p w14:paraId="4DEF9D89">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第一步，声学采集。教师（或同伴）说出“你要喝水吗”，耳机端麦克风阵列锁定说话人、抑制教室背景噪声，经AI声源分离后把净化后的语音送入ASR。此时系统应同步把“说话人在说话”这一事实以空间箭头提示给学习者——这是常被纯字幕忽略的共同注意线索。</w:t>
      </w:r>
    </w:p>
    <w:p w14:paraId="4EC2E45C">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第二步，识别与消歧。ASR输出文本，NLU把句子解析为：意图＝询问意愿、动作＝喝、对象＝水、语气＝疑问。关键在于消歧：若上下文是课间休息，图形宜呈现“带问号的杯子＋对话气泡”；若是教师下达指令，则改为“指向水杯的手势＋感叹图标”。同一个句子因语境不同而需不同图形——这正是通用图标库无法独自解决的问题，必须由教师建立的“情境—图形”映射规则来约束。</w:t>
      </w:r>
    </w:p>
    <w:p w14:paraId="16F95F11">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第三步，多模态渲染。AR眼镜在同一视区内并排呈现三行信息：文字“你要喝水吗”、象形图“水杯＋问号”、可选的中国手语/马来西亚手语（BIM）动画。三行信息保持时序同步，避免文字已消失而图标滞后造成认知负荷。W3C（2023）关于“符号可作为默认沟通选项”“文本可回流”的建议，正是为了保证这类并行呈现可定制。</w:t>
      </w:r>
    </w:p>
    <w:p w14:paraId="404CDF2F">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第四步，沟通修复与回应。学习者看到图形后，可通过预设图标、单手手势或口语做出选择，系统把回应反馈给教师；若学习者表情困惑或长时间无响应，教师立即介入并以手语或实物示范澄清。这里体现了“图形是起点而非终点”：图形帮助学习者快速把握语义，真正的教学目标是对话回合的完成与社交参与。</w:t>
      </w:r>
    </w:p>
    <w:p w14:paraId="7494C63B">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第五步，泛化评估。教师撤除AR提示，改以真实水杯、同伴对话、书面卡片三种情境测量学习者能否理解并表达“喝水”相关沟通功能。只有当三种情境均达到预设掌握标准（如80%独立正确率），该词/功能才算从“设备辅助”迁移为“可独立参与”。这一阶梯式设计把“新奇效应”与“真正习得”区分开来，也回应了系统综述关于泛化不足的整体警示（Borna et al., 2024）。</w:t>
      </w:r>
    </w:p>
    <w:p w14:paraId="604ABF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02DE3B8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第五章　伦理、权利与风险治理</w:t>
      </w:r>
    </w:p>
    <w:p w14:paraId="76C92F19">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AI驱动的沟通辅助涉及未成年人、残障群体与聋人语言文化，伦理审查不能流于形式。本章依据CRPD、W3C XR无障碍规范与特殊教育专业伦理，系统讨论六类风险并提出可操作清单。</w:t>
      </w:r>
    </w:p>
    <w:p w14:paraId="06D38A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5.1　知情同意与手语/图形知情同意</w:t>
      </w:r>
    </w:p>
    <w:p w14:paraId="01F89F3F">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第一，知情同意必须双向可达。书面材料应同时提供口语版、书面版、手语视频版与图形简化版，确保DHH学习者本人（而不仅是监护人）理解“设备会采集什么、何时上传、可随时退出”。对于低龄或兼有智力障碍的学习者，assent（自愿许可）应通过其非语言拒绝信号被尊重——一旦学习者持续抗拒佩戴，即应停止，不得以“治疗效果”为由强迫参与。这与CRPD第4条要求缔约国与聋人及其代表组织协商的精神一致（Venade, 2023）。</w:t>
      </w:r>
    </w:p>
    <w:p w14:paraId="6F9D3C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5.2　视听与行为数据隐私</w:t>
      </w:r>
    </w:p>
    <w:p w14:paraId="1DA49B8D">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第二，AR眼镜天然涉及麦克风、摄像头、眼动与行为日志，属于敏感信息。应遵循数据最小化原则：仅在必要时录制，原始音视频默认本地存储，转写为文本后即删除；云端上传需单独授权并加密；行为数据（如“误解频发”“情绪波动”）不得用于未经同意的商业训练或不当的学业评价。马来西亚与中国的学校部署均需落实监护人书面授权、可审计的访问日志与干预结束后的数据销毁机制。</w:t>
      </w:r>
    </w:p>
    <w:p w14:paraId="0F4436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5.3　算法偏差与识别失败风险</w:t>
      </w:r>
    </w:p>
    <w:p w14:paraId="284B5ECA">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第三，ASR与手势识别的偏差具有群体性后果：儿童语音、方言、非标准手语、少数族裔命名常被训练数据低估，导致词错率升高甚至系统性误识别。在课堂中，把错误转写当作真实回答会损害学习者的学业权益。治理上需做到：模型版本与词错率透明披露、低置信度强制提示、关键场景保留人工译员、持续以本地手语与语言样本做再训练。手语识别领域的综述明确指出，现有数据集在语言种类、肤色、衣着、拍摄条件与语域上存在系统性偏斜，模型跨数据集的泛化能力被显著高估（Tao et al., 2024；Alyami et al., 2024；Toshpulatov et al., 2025）。“看起来在工作”不等于“对这个人有效”。</w:t>
      </w:r>
    </w:p>
    <w:p w14:paraId="328745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5.4　手语语言权、Deaf身份与技术殖民</w:t>
      </w:r>
    </w:p>
    <w:p w14:paraId="384FDFFE">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第四，也是最易被技术乐观主义遮蔽的风险：把“语音转文字”当作沟通的唯一正确答案，实质是把口语—书面语的线性模式强加于手语文化群体。《残疾人权利公约》第9条（无障碍与可及性）与第21条（表达意见的自由与信息获取）要求缔约国以手语、字幕、盲文与辅助沟通形式保障信息平等获取（联合国大会, 2006）；CRPD与聋人组织进一步强调手语作为语言与文化身份的权利（Venade, 2023；World Federation of the Deaf, 2024）。因此系统必须把“手语优先／双语（手语＋书面语）／纯视觉图标”作为用户可选项，绝不能以“教会口语”为名压缩手语空间，更不应让生成式手语avatar在无人工译员保障时冒充专业手语翻译。实证数据支持这一立场：DHH使用者虽认可本土化avatar的可用性价值，却明确拒绝将其等同或替代人工译员（Othman et al., 2024）。在操作层面，可参照《AI与手语伦理框架》的15条原则：聋人共创、尊重手语作为非物质文化遗产、母语者事先书面同意、手语数据公平报酬、开发者对文化适配性承担责任（European Union of the Deaf, 2025；World Federation of the Deaf, 2024）。</w:t>
      </w:r>
    </w:p>
    <w:p w14:paraId="42E7DB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5.5　XR健康风险、可及性与数字鸿沟</w:t>
      </w:r>
    </w:p>
    <w:p w14:paraId="4F5AEBFD">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第五，XR自身存在使用风险。长时间佩戴可能引发视疲劳、眩晕（cybersickness）与社交孤立；W3C明确要求XR避免诱发晕动、限制会话时长、支持重置视角（W3C, 2023）。同时，设备价格、网络条件、师资培训与家长数字素养构成新的不平等：若技术只进入资源充足的学校，反而会扩大而非缩小教育差距。政策应把设备补贴、维修、师资培训与开放可及内容纳入配套，而非只采购硬件。</w:t>
      </w:r>
    </w:p>
    <w:p w14:paraId="7B24E7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5.6　伦理治理原则与审查清单</w:t>
      </w:r>
    </w:p>
    <w:p w14:paraId="5E9254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综合上述讨论，本文提出六条原则并对应课堂审查清单。</w:t>
      </w:r>
    </w:p>
    <w:p w14:paraId="0D18D1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表3　AI-AR沟通辅助的伦理治理原则与课堂审查清单</w:t>
      </w:r>
    </w:p>
    <w:tbl>
      <w:tblPr>
        <w:tblStyle w:val="11"/>
        <w:tblW w:w="9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600"/>
        <w:gridCol w:w="3300"/>
        <w:gridCol w:w="3500"/>
      </w:tblGrid>
      <w:tr w14:paraId="2E25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blHeader/>
        </w:trPr>
        <w:tc>
          <w:tcPr>
            <w:tcW w:w="2600" w:type="dxa"/>
            <w:tcBorders>
              <w:top w:val="single" w:color="808080" w:sz="4" w:space="0"/>
              <w:left w:val="single" w:color="808080" w:sz="4" w:space="0"/>
              <w:bottom w:val="single" w:color="808080" w:sz="4" w:space="0"/>
              <w:right w:val="single" w:color="808080" w:sz="4" w:space="0"/>
            </w:tcBorders>
            <w:shd w:val="clear" w:color="auto" w:fill="D5E8F0"/>
            <w:tcMar>
              <w:top w:w="60" w:type="dxa"/>
              <w:left w:w="100" w:type="dxa"/>
              <w:bottom w:w="60" w:type="dxa"/>
              <w:right w:w="100" w:type="dxa"/>
            </w:tcMar>
          </w:tcPr>
          <w:p w14:paraId="385F3D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治理原则</w:t>
            </w:r>
          </w:p>
        </w:tc>
        <w:tc>
          <w:tcPr>
            <w:tcW w:w="3300" w:type="dxa"/>
            <w:tcBorders>
              <w:top w:val="single" w:color="808080" w:sz="4" w:space="0"/>
              <w:left w:val="single" w:color="808080" w:sz="4" w:space="0"/>
              <w:bottom w:val="single" w:color="808080" w:sz="4" w:space="0"/>
              <w:right w:val="single" w:color="808080" w:sz="4" w:space="0"/>
            </w:tcBorders>
            <w:shd w:val="clear" w:color="auto" w:fill="D5E8F0"/>
            <w:tcMar>
              <w:top w:w="60" w:type="dxa"/>
              <w:left w:w="100" w:type="dxa"/>
              <w:bottom w:w="60" w:type="dxa"/>
              <w:right w:w="100" w:type="dxa"/>
            </w:tcMar>
          </w:tcPr>
          <w:p w14:paraId="667581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核心要求</w:t>
            </w:r>
          </w:p>
        </w:tc>
        <w:tc>
          <w:tcPr>
            <w:tcW w:w="3500" w:type="dxa"/>
            <w:tcBorders>
              <w:top w:val="single" w:color="808080" w:sz="4" w:space="0"/>
              <w:left w:val="single" w:color="808080" w:sz="4" w:space="0"/>
              <w:bottom w:val="single" w:color="808080" w:sz="4" w:space="0"/>
              <w:right w:val="single" w:color="808080" w:sz="4" w:space="0"/>
            </w:tcBorders>
            <w:shd w:val="clear" w:color="auto" w:fill="D5E8F0"/>
            <w:tcMar>
              <w:top w:w="60" w:type="dxa"/>
              <w:left w:w="100" w:type="dxa"/>
              <w:bottom w:w="60" w:type="dxa"/>
              <w:right w:w="100" w:type="dxa"/>
            </w:tcMar>
          </w:tcPr>
          <w:p w14:paraId="7C0117F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课堂可执行检查项</w:t>
            </w:r>
          </w:p>
        </w:tc>
      </w:tr>
      <w:tr w14:paraId="6595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5D52A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儿童利益最大化</w:t>
            </w:r>
          </w:p>
        </w:tc>
        <w:tc>
          <w:tcPr>
            <w:tcW w:w="33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6E0CB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技术服务于学习者福祉与发展权</w:t>
            </w:r>
          </w:p>
        </w:tc>
        <w:tc>
          <w:tcPr>
            <w:tcW w:w="35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094163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是否提供手语/图形版知情同意；是否允许随时退出</w:t>
            </w:r>
          </w:p>
        </w:tc>
      </w:tr>
      <w:tr w14:paraId="5187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D2447A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聋人参与式设计</w:t>
            </w:r>
          </w:p>
        </w:tc>
        <w:tc>
          <w:tcPr>
            <w:tcW w:w="33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55EED8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与DHH学习者及聋人组织共同设计</w:t>
            </w:r>
          </w:p>
        </w:tc>
        <w:tc>
          <w:tcPr>
            <w:tcW w:w="35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16068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图标库、手语avatar是否经社区审校；有无用户测试</w:t>
            </w:r>
          </w:p>
        </w:tc>
      </w:tr>
      <w:tr w14:paraId="20BC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7BF63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数据最小化与透明</w:t>
            </w:r>
          </w:p>
        </w:tc>
        <w:tc>
          <w:tcPr>
            <w:tcW w:w="33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056557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仅采必需数据，可审计、可删除</w:t>
            </w:r>
          </w:p>
        </w:tc>
        <w:tc>
          <w:tcPr>
            <w:tcW w:w="35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C1F6D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默认本地存储；上传是否单独授权；是否定期销毁</w:t>
            </w:r>
          </w:p>
        </w:tc>
      </w:tr>
      <w:tr w14:paraId="0C27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06BE2EC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算法可解释与可接管</w:t>
            </w:r>
          </w:p>
        </w:tc>
        <w:tc>
          <w:tcPr>
            <w:tcW w:w="33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204C5E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披露准确率，低置信度转人工</w:t>
            </w:r>
          </w:p>
        </w:tc>
        <w:tc>
          <w:tcPr>
            <w:tcW w:w="35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7390C9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是否显示置信度；关键场景是否有手语译员/教师兜底</w:t>
            </w:r>
          </w:p>
        </w:tc>
      </w:tr>
      <w:tr w14:paraId="41C9B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50E2E3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语言与文化中立</w:t>
            </w:r>
          </w:p>
        </w:tc>
        <w:tc>
          <w:tcPr>
            <w:tcW w:w="33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60EA8B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手语、口语、图标可切换，互不替代</w:t>
            </w:r>
          </w:p>
        </w:tc>
        <w:tc>
          <w:tcPr>
            <w:tcW w:w="35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0EB9739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是否强制“语音转写唯一”；是否保留手语优先选项</w:t>
            </w:r>
          </w:p>
        </w:tc>
      </w:tr>
      <w:tr w14:paraId="2EA1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6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1C8111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健康与公平可及</w:t>
            </w:r>
          </w:p>
        </w:tc>
        <w:tc>
          <w:tcPr>
            <w:tcW w:w="33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446895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防眩晕、限时、缩小数字鸿沟</w:t>
            </w:r>
          </w:p>
        </w:tc>
        <w:tc>
          <w:tcPr>
            <w:tcW w:w="3500" w:type="dxa"/>
            <w:tcBorders>
              <w:top w:val="single" w:color="808080" w:sz="4" w:space="0"/>
              <w:left w:val="single" w:color="808080" w:sz="4" w:space="0"/>
              <w:bottom w:val="single" w:color="808080" w:sz="4" w:space="0"/>
              <w:right w:val="single" w:color="808080" w:sz="4" w:space="0"/>
            </w:tcBorders>
            <w:tcMar>
              <w:top w:w="60" w:type="dxa"/>
              <w:left w:w="100" w:type="dxa"/>
              <w:bottom w:w="60" w:type="dxa"/>
              <w:right w:w="100" w:type="dxa"/>
            </w:tcMar>
          </w:tcPr>
          <w:p w14:paraId="5EE4C1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是否设佩戴时长上限；设备/师资是否普惠覆盖</w:t>
            </w:r>
          </w:p>
        </w:tc>
      </w:tr>
    </w:tbl>
    <w:p w14:paraId="76FB81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49A700D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7799CF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第六章　“声学—视觉—符号—人际”协同模型与实施建议</w:t>
      </w:r>
    </w:p>
    <w:p w14:paraId="4DB98E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6.1　四层协同模型</w:t>
      </w:r>
    </w:p>
    <w:p w14:paraId="6936CF75">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基于前述分析，本文提出“声学—视觉—符号—人际”四层协同模型。声学层服务于残存听力，做个性化听觉增强；视觉层由AR眼镜呈现实时字幕、说话人线索与空间提示；符号层由AI把语义转为图形与手语，降低理解与表达门槛；人际层由教师、手语译员、同伴与家庭承担情感、泛化与文化归属。四层由内向外，越外层越不可替代：技术可以优化前三层的“信息通道”，但关系的建立只能发生在人际层。</w:t>
      </w:r>
    </w:p>
    <w:p w14:paraId="4653553F">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这一模型有意区别于“AI替代特教”的叙事。Alsharif等人（2026）的AR-SB研究通过课程对齐、专家验证与准实验证明了结构化设计的价值；Jin等人（2026）对71项研究的综述则表明，与词汇成效稳定相关的设计特征是情境嵌入、多感官一致与可复现流程，而非设备本身的先进程度；Borna等人（2024）与Chang等人（2025）的系统综述共同提醒我们，整体证据仍初步且异质。因此模型的定位是“脚手架”：当学习者能借助字幕与图标参与互动后，教师应逐步撤除提示、引导其转向手语、书面语或口语的真实沟通，而非让其长期依赖设备。</w:t>
      </w:r>
    </w:p>
    <w:p w14:paraId="7E0D0E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6.2　标准化实施流程</w:t>
      </w:r>
    </w:p>
    <w:p w14:paraId="70C544A2">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结合IEP与前述伦理原则，提出适用于资源教室与随班就读场景的七步流程。</w:t>
      </w:r>
    </w:p>
    <w:p w14:paraId="45E609C8">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1. 听力与沟通评估：由听力师、语言治疗师与教师共同评估残存听力、助听设备使用情况及手语/口语偏好，明确是否启用声学层。</w:t>
      </w:r>
    </w:p>
    <w:p w14:paraId="5B21CD8B">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2. 知情与assent：以手语、图形、书面与口语多版本说明数据用途，尊重学习者本人的拒绝信号。</w:t>
      </w:r>
    </w:p>
    <w:p w14:paraId="5D253855">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3. 设定IEP目标：选择沟通功能（如请求、回应、理解课堂指令）与核心词表，而非泛化“提高听力”。</w:t>
      </w:r>
    </w:p>
    <w:p w14:paraId="237E33A7">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4. 配置分层输出：由学习者与教师共同选择“文字/图标/手语”模态组合、字幕位置与提示强度。</w:t>
      </w:r>
    </w:p>
    <w:p w14:paraId="533051BC">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5. 教师在场的人机互动：每次干预后由教师组织真人角色扮演与同伴互动，促成泛化。</w:t>
      </w:r>
    </w:p>
    <w:p w14:paraId="072D3412">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6. 脱敏日志＋动态调整：仅记录教学所需指标（误解类型、目标词掌握度），定期复盘并调整词库与图标。</w:t>
      </w:r>
    </w:p>
    <w:p w14:paraId="395844BC">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7. 危机与安全处置：出现严重沟通冲突、情绪危机或设备故障，立即切换至手语译员/教师支持，终止AI流程。</w:t>
      </w:r>
    </w:p>
    <w:p w14:paraId="325398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6.3　中国本土与马来西亚跨文化场景展望</w:t>
      </w:r>
    </w:p>
    <w:p w14:paraId="1998B2B3">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中国场景的优势在于政策驱动与普通话言语康复技术积累（如Liu et al.的普通话VR发音系统），但需补强手语（中国手语）与文化适配的图标库，并警惕“康复导向”挤压手语空间。马来西亚场景具有马来语、华语、淡米尔语与马来西亚手语（Bahasa Isyarat Malaysia, BIM）并存的多语多文化特征，UPSI团队围绕DHH词汇学习开展的AR多感官图书系统综述（Jin et al., 2026）与相关准实验（Alsharif et al., 2026）正是本地化的积极信号；东盟区域内亦已出现面向听障学习者的AR教材开发实证，如泰国聋校一年级AR图书（Ployjiw &amp; Chujai, 2023）与印尼听障学生的AR科学学习媒体（Rahayu et al., 2024），说明“低门槛、课程对齐”的技术路线更适合多语、资源不均的地区。跨境推广时，“同一架构、本地词库、聋人共创”应成为基本原则：核心四层架构可复用，但语言、图标、手语与文化规范必须本地重做，不可直接翻译了事。</w:t>
      </w:r>
    </w:p>
    <w:p w14:paraId="4BFEF4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p>
    <w:p w14:paraId="210859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第七章　研究局限与结论</w:t>
      </w:r>
    </w:p>
    <w:p w14:paraId="57430A11">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本研究属文献综合与需求分析，不包含原始干预数据；尽管已分层援引系统综述、准实验与技术可行性研究，但针对“AR眼镜＋AI助听＋语义图形”三位一体的专项大样本课堂RCT仍近乎空白。现有证据的结构性限制亦须承认：纳入研究普遍为小样本与短期设计，非正规教育场景的证据尤为薄弱（González-Afonso et al., 2026），头戴显示不适与操作困难在多份综述中被反复报告（Fernandes et al., 2024；Chang et al., 2025），部分技术参数（如端到端延时、多语言WER、跨数据集泛化指标）缺乏统一报告标准（Tao et al., 2024）。</w:t>
      </w:r>
    </w:p>
    <w:p w14:paraId="220B3CE9">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结论如下。第一，AR、AI助听与语义图形化各具教育价值，但只有被整合为“声学—视觉—符号—人际”的分层协同系统，才能避免把复杂沟通简化为“语音转文字”。第二，实证证据总体积极却仍初步：AR多感官图书的准实验（t(58)=6.305, p&lt;.001）与系统综述（Borna et al., 2024）支持可行性，但不足以支撑无条件规模化。第三，AI生成图形（文字＋象形图）在具体沟通功能上具有降低门槛的潜力，但受控图标库、置信度披露与教师/译员兜底缺一不可。第四，伦理上必须坚守聋人参与、手语语言权、数据最小化与健康公平，把设备定位为“教师主导、人本优先”的沟通脚手架。</w:t>
      </w:r>
    </w:p>
    <w:p w14:paraId="5566F870">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最终，本研究试图回答的并不是“能否用一副眼镜取代一切”，而是“如何让残存听力、文字、手语、图形与人彼此配合，使DHH学习者重新掌握沟通的主动权”。只有当技术服务于这一目的、并在伦理边界内被审慎使用，AR与AI才真正构成特殊教育的赋能力量。</w:t>
      </w:r>
    </w:p>
    <w:p w14:paraId="4B9DCF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br w:type="page"/>
      </w:r>
    </w:p>
    <w:p w14:paraId="2FE1FB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sz w:val="24"/>
          <w:szCs w:val="24"/>
        </w:rPr>
      </w:pPr>
      <w:r>
        <w:rPr>
          <w:rFonts w:hint="default"/>
          <w:sz w:val="24"/>
          <w:szCs w:val="24"/>
        </w:rPr>
        <w:t>参考文献</w:t>
      </w:r>
      <w:bookmarkStart w:id="0" w:name="_GoBack"/>
      <w:bookmarkEnd w:id="0"/>
    </w:p>
    <w:p w14:paraId="11BCCDF1">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一、中文文献</w:t>
      </w:r>
    </w:p>
    <w:p w14:paraId="742813AC">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i/>
          <w:sz w:val="24"/>
          <w:szCs w:val="24"/>
        </w:rPr>
        <w:t xml:space="preserve">国务院办公厅</w:t>
      </w:r>
      <w:r>
        <w:rPr>
          <w:rFonts w:hint="default"/>
          <w:sz w:val="24"/>
          <w:szCs w:val="24"/>
        </w:rPr>
        <w:t xml:space="preserve">. (2021). “十四五”特殊教育发展提升行动计划（国办发〔2021〕60号）. 中国政府网. https://www.gov.cn/zhengce/content/2022-01/25/content_5670341.htm</w:t>
      </w:r>
    </w:p>
    <w:p w14:paraId="4EB5E1F6">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i/>
          <w:sz w:val="24"/>
          <w:szCs w:val="24"/>
        </w:rPr>
        <w:t xml:space="preserve">教育部等五部门</w:t>
      </w:r>
      <w:r>
        <w:rPr>
          <w:rFonts w:hint="default"/>
          <w:sz w:val="24"/>
          <w:szCs w:val="24"/>
        </w:rPr>
        <w:t xml:space="preserve">. (2026). “人工智能+教育”行动计划（教科信〔2026〕1号）. 中华人民共和国教育部.</w:t>
      </w:r>
    </w:p>
    <w:p w14:paraId="39A920D5">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i/>
          <w:sz w:val="24"/>
          <w:szCs w:val="24"/>
        </w:rPr>
        <w:t xml:space="preserve">教育部等七部门</w:t>
      </w:r>
      <w:r>
        <w:rPr>
          <w:rFonts w:hint="default"/>
          <w:sz w:val="24"/>
          <w:szCs w:val="24"/>
        </w:rPr>
        <w:t xml:space="preserve">. (2026). 特殊教育发展提升“十五五”行动计划（教基〔2026〕9号）. 中华人民共和国教育部. https://www.gov.cn/lianbo/202608/content_7079634.htm</w:t>
      </w:r>
    </w:p>
    <w:p w14:paraId="6EC0DEAD">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i/>
          <w:sz w:val="24"/>
          <w:szCs w:val="24"/>
        </w:rPr>
        <w:t xml:space="preserve">联合国大会</w:t>
      </w:r>
      <w:r>
        <w:rPr>
          <w:rFonts w:hint="default"/>
          <w:sz w:val="24"/>
          <w:szCs w:val="24"/>
        </w:rPr>
        <w:t xml:space="preserve">. (2006). 残疾人权利公约 (Convention on the Rights of Persons with Disabilities). 联合国. https://www.un.org/development/desa/disabilities/convention-on-the-rights-of-persons-with-disabilities/</w:t>
      </w:r>
    </w:p>
    <w:p w14:paraId="31ADEDB6">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i/>
          <w:sz w:val="24"/>
          <w:szCs w:val="24"/>
        </w:rPr>
        <w:t xml:space="preserve">刘晓千, 燕楠, 王岚, 吴民华</w:t>
      </w:r>
      <w:r>
        <w:rPr>
          <w:rFonts w:hint="default"/>
          <w:sz w:val="24"/>
          <w:szCs w:val="24"/>
        </w:rPr>
        <w:t xml:space="preserve">. (2014). 一种应用虚拟发音头像的普通话聋儿言语康复系统. 中国科学院深圳先进技术研究院.</w:t>
      </w:r>
    </w:p>
    <w:p w14:paraId="2EA28255">
      <w:pPr>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rPr>
          <w:rFonts w:hint="default"/>
          <w:sz w:val="24"/>
          <w:szCs w:val="24"/>
        </w:rPr>
      </w:pPr>
      <w:r>
        <w:rPr>
          <w:rFonts w:hint="default"/>
          <w:sz w:val="24"/>
          <w:szCs w:val="24"/>
        </w:rPr>
        <w:t xml:space="preserve">二、英文文献</w:t>
      </w:r>
    </w:p>
    <w:p w14:paraId="789A8BB9">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Alsharif, S. A., Mousavi, S. Z., &amp; Chang, C.-T. (2026). Curriculum-aligned augmented reality sensory books for vocabulary learning in deaf and hard-of-hearing children: A quasi-experimental study. </w:t>
      </w:r>
      <w:r>
        <w:rPr>
          <w:rFonts w:hint="default"/>
          <w:i/>
          <w:sz w:val="24"/>
          <w:szCs w:val="24"/>
        </w:rPr>
        <w:t xml:space="preserve">Journal of Special Education Technology</w:t>
      </w:r>
      <w:r>
        <w:rPr>
          <w:rFonts w:hint="default"/>
          <w:sz w:val="24"/>
          <w:szCs w:val="24"/>
        </w:rPr>
        <w:t xml:space="preserve">. Advance online publication.</w:t>
      </w:r>
    </w:p>
    <w:p w14:paraId="6BBD45D1">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Alyami, S., Luqman, H., &amp; Hammoudeh, M. (2024). Reviewing 25 years of continuous sign language recognition research: Advances, challenges, and prospects. </w:t>
      </w:r>
      <w:r>
        <w:rPr>
          <w:rFonts w:hint="default"/>
          <w:i/>
          <w:sz w:val="24"/>
          <w:szCs w:val="24"/>
        </w:rPr>
        <w:t xml:space="preserve">Information Processing &amp; Management</w:t>
      </w:r>
      <w:r>
        <w:rPr>
          <w:rFonts w:hint="default"/>
          <w:sz w:val="24"/>
          <w:szCs w:val="24"/>
        </w:rPr>
        <w:t xml:space="preserve">, </w:t>
      </w:r>
      <w:r>
        <w:rPr>
          <w:rFonts w:hint="default"/>
          <w:i/>
          <w:sz w:val="24"/>
          <w:szCs w:val="24"/>
        </w:rPr>
        <w:t xml:space="preserve">61</w:t>
      </w:r>
      <w:r>
        <w:rPr>
          <w:rFonts w:hint="default"/>
          <w:sz w:val="24"/>
          <w:szCs w:val="24"/>
        </w:rPr>
        <w:t xml:space="preserve">. https://doi.org/10.1016/j.ipm.2024.103688</w:t>
      </w:r>
    </w:p>
    <w:p w14:paraId="115B718F">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Borna, A., Mousavi, S. Z., Fathollahzadeh, F., Nazeri, A., &amp; Harari, R. E. (2024). Applications of augmented and virtual reality in enhancing communication for individuals who are hard of hearing: A systematic review. </w:t>
      </w:r>
      <w:r>
        <w:rPr>
          <w:rFonts w:hint="default"/>
          <w:i/>
          <w:sz w:val="24"/>
          <w:szCs w:val="24"/>
        </w:rPr>
        <w:t xml:space="preserve">American Journal of Audiology</w:t>
      </w:r>
      <w:r>
        <w:rPr>
          <w:rFonts w:hint="default"/>
          <w:sz w:val="24"/>
          <w:szCs w:val="24"/>
        </w:rPr>
        <w:t xml:space="preserve">, </w:t>
      </w:r>
      <w:r>
        <w:rPr>
          <w:rFonts w:hint="default"/>
          <w:i/>
          <w:sz w:val="24"/>
          <w:szCs w:val="24"/>
        </w:rPr>
        <w:t xml:space="preserve">33</w:t>
      </w:r>
      <w:r>
        <w:rPr>
          <w:rFonts w:hint="default"/>
          <w:sz w:val="24"/>
          <w:szCs w:val="24"/>
        </w:rPr>
        <w:t xml:space="preserve">(4), 1378–1394. https://doi.org/10.1044/2024_AJA-24-00056</w:t>
      </w:r>
    </w:p>
    <w:p w14:paraId="4FD85A8F">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Chang, C.-T., Chao, W.-H., Yang, C.-Y., &amp; Semwaiko, G. S. (2025). Evaluating the impact of augmented reality on learning outcomes in K-12 special education: A systematic review. </w:t>
      </w:r>
      <w:r>
        <w:rPr>
          <w:rFonts w:hint="default"/>
          <w:i/>
          <w:sz w:val="24"/>
          <w:szCs w:val="24"/>
        </w:rPr>
        <w:t xml:space="preserve">European Journal of Educational Research</w:t>
      </w:r>
      <w:r>
        <w:rPr>
          <w:rFonts w:hint="default"/>
          <w:sz w:val="24"/>
          <w:szCs w:val="24"/>
        </w:rPr>
        <w:t xml:space="preserve">, </w:t>
      </w:r>
      <w:r>
        <w:rPr>
          <w:rFonts w:hint="default"/>
          <w:i/>
          <w:sz w:val="24"/>
          <w:szCs w:val="24"/>
        </w:rPr>
        <w:t xml:space="preserve">14</w:t>
      </w:r>
      <w:r>
        <w:rPr>
          <w:rFonts w:hint="default"/>
          <w:sz w:val="24"/>
          <w:szCs w:val="24"/>
        </w:rPr>
        <w:t xml:space="preserve">(4), 1167–1182.</w:t>
      </w:r>
    </w:p>
    <w:p w14:paraId="6DBF470A">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European Union of the Deaf. (2025). </w:t>
      </w:r>
      <w:r>
        <w:rPr>
          <w:rFonts w:hint="default"/>
          <w:i/>
          <w:sz w:val="24"/>
          <w:szCs w:val="24"/>
        </w:rPr>
        <w:t xml:space="preserve">Ethical framework on AI and sign language</w:t>
      </w:r>
      <w:r>
        <w:rPr>
          <w:rFonts w:hint="default"/>
          <w:sz w:val="24"/>
          <w:szCs w:val="24"/>
        </w:rPr>
        <w:t xml:space="preserve">. https://eud.eu/</w:t>
      </w:r>
    </w:p>
    <w:p w14:paraId="1D500729">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Fathallah, N., Bhole, M., &amp; Staab, S. (2024). Empowering the deaf and hard of hearing community: Enhancing video captions using large language models. </w:t>
      </w:r>
      <w:r>
        <w:rPr>
          <w:rFonts w:hint="default"/>
          <w:i/>
          <w:sz w:val="24"/>
          <w:szCs w:val="24"/>
        </w:rPr>
        <w:t xml:space="preserve">arXiv</w:t>
      </w:r>
      <w:r>
        <w:rPr>
          <w:rFonts w:hint="default"/>
          <w:sz w:val="24"/>
          <w:szCs w:val="24"/>
        </w:rPr>
        <w:t xml:space="preserve">. https://arxiv.org/abs/2412.00342</w:t>
      </w:r>
    </w:p>
    <w:p w14:paraId="3DCA6073">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Fernandes, N., Melo Leite Junior, A. J., Marçal, E., &amp; Viana, W. (2024). Augmented reality in education for people who are deaf or hard of hearing: A systematic literature review. </w:t>
      </w:r>
      <w:r>
        <w:rPr>
          <w:rFonts w:hint="default"/>
          <w:i/>
          <w:sz w:val="24"/>
          <w:szCs w:val="24"/>
        </w:rPr>
        <w:t xml:space="preserve">Universal Access in the Information Society</w:t>
      </w:r>
      <w:r>
        <w:rPr>
          <w:rFonts w:hint="default"/>
          <w:sz w:val="24"/>
          <w:szCs w:val="24"/>
        </w:rPr>
        <w:t xml:space="preserve">, </w:t>
      </w:r>
      <w:r>
        <w:rPr>
          <w:rFonts w:hint="default"/>
          <w:i/>
          <w:sz w:val="24"/>
          <w:szCs w:val="24"/>
        </w:rPr>
        <w:t xml:space="preserve">23</w:t>
      </w:r>
      <w:r>
        <w:rPr>
          <w:rFonts w:hint="default"/>
          <w:sz w:val="24"/>
          <w:szCs w:val="24"/>
        </w:rPr>
        <w:t xml:space="preserve">(3), 1483–1502. https://doi.org/10.1007/s10209-023-00994-z</w:t>
      </w:r>
    </w:p>
    <w:p w14:paraId="30BC0CD5">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Gaultier, C., &amp; Goehring, T. (2024). Recovering speech intelligibility with deep learning and multiple microphones in noisy-reverberant situations for people using cochlear implants. </w:t>
      </w:r>
      <w:r>
        <w:rPr>
          <w:rFonts w:hint="default"/>
          <w:i/>
          <w:sz w:val="24"/>
          <w:szCs w:val="24"/>
        </w:rPr>
        <w:t xml:space="preserve">The Journal of the Acoustical Society of America</w:t>
      </w:r>
      <w:r>
        <w:rPr>
          <w:rFonts w:hint="default"/>
          <w:sz w:val="24"/>
          <w:szCs w:val="24"/>
        </w:rPr>
        <w:t xml:space="preserve">, </w:t>
      </w:r>
      <w:r>
        <w:rPr>
          <w:rFonts w:hint="default"/>
          <w:i/>
          <w:sz w:val="24"/>
          <w:szCs w:val="24"/>
        </w:rPr>
        <w:t xml:space="preserve">155</w:t>
      </w:r>
      <w:r>
        <w:rPr>
          <w:rFonts w:hint="default"/>
          <w:sz w:val="24"/>
          <w:szCs w:val="24"/>
        </w:rPr>
        <w:t xml:space="preserve">(6), 3833–3847. https://doi.org/10.1121/10.0026321</w:t>
      </w:r>
    </w:p>
    <w:p w14:paraId="5DC3567E">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González-Afonso, M. C., Perdomo-López, C. Á., Plasencia-Carballo, Z., &amp; Pérez-Jorge, D. (2026). Inclusive education beyond formal settings: AR and VR as accessibility strategies for deaf and hard-of-hearing individuals. </w:t>
      </w:r>
      <w:r>
        <w:rPr>
          <w:rFonts w:hint="default"/>
          <w:i/>
          <w:sz w:val="24"/>
          <w:szCs w:val="24"/>
        </w:rPr>
        <w:t xml:space="preserve">Frontiers in Education</w:t>
      </w:r>
      <w:r>
        <w:rPr>
          <w:rFonts w:hint="default"/>
          <w:sz w:val="24"/>
          <w:szCs w:val="24"/>
        </w:rPr>
        <w:t xml:space="preserve">, </w:t>
      </w:r>
      <w:r>
        <w:rPr>
          <w:rFonts w:hint="default"/>
          <w:i/>
          <w:sz w:val="24"/>
          <w:szCs w:val="24"/>
        </w:rPr>
        <w:t xml:space="preserve">10</w:t>
      </w:r>
      <w:r>
        <w:rPr>
          <w:rFonts w:hint="default"/>
          <w:sz w:val="24"/>
          <w:szCs w:val="24"/>
        </w:rPr>
        <w:t xml:space="preserve">, Article 1715885. https://doi.org/10.3389/feduc.2025.1715885</w:t>
      </w:r>
    </w:p>
    <w:p w14:paraId="150E58D0">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Healy, E. W., Johnson, E. M., Pandey, A., &amp; Wang, D. (2023). Progress made in the efficacy and viability of deep-learning-based noise reduction. </w:t>
      </w:r>
      <w:r>
        <w:rPr>
          <w:rFonts w:hint="default"/>
          <w:i/>
          <w:sz w:val="24"/>
          <w:szCs w:val="24"/>
        </w:rPr>
        <w:t xml:space="preserve">The Journal of the Acoustical Society of America</w:t>
      </w:r>
      <w:r>
        <w:rPr>
          <w:rFonts w:hint="default"/>
          <w:sz w:val="24"/>
          <w:szCs w:val="24"/>
        </w:rPr>
        <w:t xml:space="preserve">, </w:t>
      </w:r>
      <w:r>
        <w:rPr>
          <w:rFonts w:hint="default"/>
          <w:i/>
          <w:sz w:val="24"/>
          <w:szCs w:val="24"/>
        </w:rPr>
        <w:t xml:space="preserve">153</w:t>
      </w:r>
      <w:r>
        <w:rPr>
          <w:rFonts w:hint="default"/>
          <w:sz w:val="24"/>
          <w:szCs w:val="24"/>
        </w:rPr>
        <w:t xml:space="preserve">(5), 3074. https://doi.org/10.1121/10.0019341</w:t>
      </w:r>
    </w:p>
    <w:p w14:paraId="167CD5D0">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Ioannou, A., &amp; Constantinou, V. (2018). Augmented reality supporting deaf students in mainstream schools: Two case studies of practical utility of the technology. In M. E. Auer &amp; T. Tsiatsos (Eds.), </w:t>
      </w:r>
      <w:r>
        <w:rPr>
          <w:rFonts w:hint="default"/>
          <w:i/>
          <w:sz w:val="24"/>
          <w:szCs w:val="24"/>
        </w:rPr>
        <w:t xml:space="preserve">Interactive mobile communication technologies and learning</w:t>
      </w:r>
      <w:r>
        <w:rPr>
          <w:rFonts w:hint="default"/>
          <w:sz w:val="24"/>
          <w:szCs w:val="24"/>
        </w:rPr>
        <w:t xml:space="preserve"> (IMCL 2017) (Advances in Intelligent Systems and Computing, Vol. 725). Springer. https://doi.org/10.1007/978-3-319-75175-7_39</w:t>
      </w:r>
    </w:p>
    <w:p w14:paraId="50C64760">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Jin, X., Mat Sin, N. S., &amp; Kong, V. L. S. (2026). Augmented reality integrated sensory books for contextual vocabulary learning in deaf and hard-of-hearing (DHH) children: A systematic literature review (2021–2026). </w:t>
      </w:r>
      <w:r>
        <w:rPr>
          <w:rFonts w:hint="default"/>
          <w:i/>
          <w:sz w:val="24"/>
          <w:szCs w:val="24"/>
        </w:rPr>
        <w:t xml:space="preserve">Journal of Art, Design, Creativity and Multimedia</w:t>
      </w:r>
      <w:r>
        <w:rPr>
          <w:rFonts w:hint="default"/>
          <w:sz w:val="24"/>
          <w:szCs w:val="24"/>
        </w:rPr>
        <w:t xml:space="preserve">, </w:t>
      </w:r>
      <w:r>
        <w:rPr>
          <w:rFonts w:hint="default"/>
          <w:i/>
          <w:sz w:val="24"/>
          <w:szCs w:val="24"/>
        </w:rPr>
        <w:t xml:space="preserve">1</w:t>
      </w:r>
      <w:r>
        <w:rPr>
          <w:rFonts w:hint="default"/>
          <w:sz w:val="24"/>
          <w:szCs w:val="24"/>
        </w:rPr>
        <w:t xml:space="preserve">(1). https://doi.org/10.37134/jadcm.vol1.1.1.2026</w:t>
      </w:r>
    </w:p>
    <w:p w14:paraId="7B4A6F5C">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Kang, J., Layton, E., Martin, D., &amp; Starner, T. (2024). Towards improving real-time head-worn display caption mediated conversations with speaker feedback for hearing conversation partners. In </w:t>
      </w:r>
      <w:r>
        <w:rPr>
          <w:rFonts w:hint="default"/>
          <w:i/>
          <w:sz w:val="24"/>
          <w:szCs w:val="24"/>
        </w:rPr>
        <w:t xml:space="preserve">Extended Abstracts of the 2024 CHI Conference on Human Factors in Computing Systems</w:t>
      </w:r>
      <w:r>
        <w:rPr>
          <w:rFonts w:hint="default"/>
          <w:sz w:val="24"/>
          <w:szCs w:val="24"/>
        </w:rPr>
        <w:t xml:space="preserve"> (CHI EA ’24). https://doi.org/10.1145/3613905.3650976</w:t>
      </w:r>
    </w:p>
    <w:p w14:paraId="6E858EFB">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Othman, A., Dhouib, A., Chalghoumi, H., El Ghoul, O., &amp; Al-Mutawaa, A. (2024). The acceptance of culturally adapted signing avatars among deaf and hard-of-hearing individuals. </w:t>
      </w:r>
      <w:r>
        <w:rPr>
          <w:rFonts w:hint="default"/>
          <w:i/>
          <w:sz w:val="24"/>
          <w:szCs w:val="24"/>
        </w:rPr>
        <w:t xml:space="preserve">IEEE Access</w:t>
      </w:r>
      <w:r>
        <w:rPr>
          <w:rFonts w:hint="default"/>
          <w:sz w:val="24"/>
          <w:szCs w:val="24"/>
        </w:rPr>
        <w:t xml:space="preserve">, </w:t>
      </w:r>
      <w:r>
        <w:rPr>
          <w:rFonts w:hint="default"/>
          <w:i/>
          <w:sz w:val="24"/>
          <w:szCs w:val="24"/>
        </w:rPr>
        <w:t xml:space="preserve">12</w:t>
      </w:r>
      <w:r>
        <w:rPr>
          <w:rFonts w:hint="default"/>
          <w:sz w:val="24"/>
          <w:szCs w:val="24"/>
        </w:rPr>
        <w:t xml:space="preserve">, 78624–78640. https://doi.org/10.1109/ACCESS.2024.3407128</w:t>
      </w:r>
    </w:p>
    <w:p w14:paraId="78918109">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Ployjiw, U., &amp; Chujai, P. (2023). Development of augmented reality learning materials for the hearing impaired students in primary I. </w:t>
      </w:r>
      <w:r>
        <w:rPr>
          <w:rFonts w:hint="default"/>
          <w:i/>
          <w:sz w:val="24"/>
          <w:szCs w:val="24"/>
        </w:rPr>
        <w:t xml:space="preserve">International Journal of Information and Education Technology</w:t>
      </w:r>
      <w:r>
        <w:rPr>
          <w:rFonts w:hint="default"/>
          <w:sz w:val="24"/>
          <w:szCs w:val="24"/>
        </w:rPr>
        <w:t xml:space="preserve">, </w:t>
      </w:r>
      <w:r>
        <w:rPr>
          <w:rFonts w:hint="default"/>
          <w:i/>
          <w:sz w:val="24"/>
          <w:szCs w:val="24"/>
        </w:rPr>
        <w:t xml:space="preserve">13</w:t>
      </w:r>
      <w:r>
        <w:rPr>
          <w:rFonts w:hint="default"/>
          <w:sz w:val="24"/>
          <w:szCs w:val="24"/>
        </w:rPr>
        <w:t xml:space="preserve">(11). https://doi.org/10.18178/ijiet.2023.13.11.1978</w:t>
      </w:r>
    </w:p>
    <w:p w14:paraId="18B4E276">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Rahayu, T. W., Sugiyanto, Wiranto, Umar, F., Siswantoyo, &amp; Susanto. (2024). The effect of augmented reality-based breaststroke swimming learning model on deaf students. </w:t>
      </w:r>
      <w:r>
        <w:rPr>
          <w:rFonts w:hint="default"/>
          <w:i/>
          <w:sz w:val="24"/>
          <w:szCs w:val="24"/>
        </w:rPr>
        <w:t xml:space="preserve">Fizjoterapia Polska</w:t>
      </w:r>
      <w:r>
        <w:rPr>
          <w:rFonts w:hint="default"/>
          <w:sz w:val="24"/>
          <w:szCs w:val="24"/>
        </w:rPr>
        <w:t xml:space="preserve">, </w:t>
      </w:r>
      <w:r>
        <w:rPr>
          <w:rFonts w:hint="default"/>
          <w:i/>
          <w:sz w:val="24"/>
          <w:szCs w:val="24"/>
        </w:rPr>
        <w:t xml:space="preserve">24</w:t>
      </w:r>
      <w:r>
        <w:rPr>
          <w:rFonts w:hint="default"/>
          <w:sz w:val="24"/>
          <w:szCs w:val="24"/>
        </w:rPr>
        <w:t xml:space="preserve">(3), 40–48. https://doi.org/10.56984/8ZG020A4EP</w:t>
      </w:r>
    </w:p>
    <w:p w14:paraId="614A994F">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Rastgoo, R., Kiani, K., Escalera, S., Athitsos, V., &amp; Sabokrou, M. (2024). A survey on recent advances in sign language production. </w:t>
      </w:r>
      <w:r>
        <w:rPr>
          <w:rFonts w:hint="default"/>
          <w:i/>
          <w:sz w:val="24"/>
          <w:szCs w:val="24"/>
        </w:rPr>
        <w:t xml:space="preserve">Expert Systems with Applications</w:t>
      </w:r>
      <w:r>
        <w:rPr>
          <w:rFonts w:hint="default"/>
          <w:sz w:val="24"/>
          <w:szCs w:val="24"/>
        </w:rPr>
        <w:t xml:space="preserve">, </w:t>
      </w:r>
      <w:r>
        <w:rPr>
          <w:rFonts w:hint="default"/>
          <w:i/>
          <w:sz w:val="24"/>
          <w:szCs w:val="24"/>
        </w:rPr>
        <w:t xml:space="preserve">243</w:t>
      </w:r>
      <w:r>
        <w:rPr>
          <w:rFonts w:hint="default"/>
          <w:sz w:val="24"/>
          <w:szCs w:val="24"/>
        </w:rPr>
        <w:t xml:space="preserve">. https://doi.org/10.1016/j.eswa.2023.122846</w:t>
      </w:r>
    </w:p>
    <w:p w14:paraId="17849A0B">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Samaradivakara, Y., Ushan, T., Pathirage, A., Sasikumar, P., Karunanayaka, K., Keppitiyagama, C., &amp; Nanayakkara, S. (2024). SeEar: Tailoring real-time AR caption interfaces for deaf and hard-of-hearing (DHH) students in specialized educational settings. In </w:t>
      </w:r>
      <w:r>
        <w:rPr>
          <w:rFonts w:hint="default"/>
          <w:i/>
          <w:sz w:val="24"/>
          <w:szCs w:val="24"/>
        </w:rPr>
        <w:t xml:space="preserve">Extended Abstracts of the 2024 CHI Conference on Human Factors in Computing Systems</w:t>
      </w:r>
      <w:r>
        <w:rPr>
          <w:rFonts w:hint="default"/>
          <w:sz w:val="24"/>
          <w:szCs w:val="24"/>
        </w:rPr>
        <w:t xml:space="preserve"> (CHI EA ’24). https://doi.org/10.1145/3613905.3650974</w:t>
      </w:r>
    </w:p>
    <w:p w14:paraId="493533D0">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Tantaroudas, N., Papadopoulos, G., &amp; Zafeiropoulos, A. (2025). An XR platform with integrated AI services for accessible communication and sign language support. </w:t>
      </w:r>
      <w:r>
        <w:rPr>
          <w:rFonts w:hint="default"/>
          <w:i/>
          <w:sz w:val="24"/>
          <w:szCs w:val="24"/>
        </w:rPr>
        <w:t xml:space="preserve">Open Research Europe</w:t>
      </w:r>
      <w:r>
        <w:rPr>
          <w:rFonts w:hint="default"/>
          <w:sz w:val="24"/>
          <w:szCs w:val="24"/>
        </w:rPr>
        <w:t xml:space="preserve">, </w:t>
      </w:r>
      <w:r>
        <w:rPr>
          <w:rFonts w:hint="default"/>
          <w:i/>
          <w:sz w:val="24"/>
          <w:szCs w:val="24"/>
        </w:rPr>
        <w:t xml:space="preserve">5</w:t>
      </w:r>
      <w:r>
        <w:rPr>
          <w:rFonts w:hint="default"/>
          <w:sz w:val="24"/>
          <w:szCs w:val="24"/>
        </w:rPr>
        <w:t xml:space="preserve">. Advance online publication.</w:t>
      </w:r>
    </w:p>
    <w:p w14:paraId="3E2C8DF7">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Tao, T., Zhao, Y., Liu, T., &amp; Zhu, J. (2024). Sign language recognition: A comprehensive review of traditional and deep learning approaches, datasets, and challenges. </w:t>
      </w:r>
      <w:r>
        <w:rPr>
          <w:rFonts w:hint="default"/>
          <w:i/>
          <w:sz w:val="24"/>
          <w:szCs w:val="24"/>
        </w:rPr>
        <w:t xml:space="preserve">IEEE Access</w:t>
      </w:r>
      <w:r>
        <w:rPr>
          <w:rFonts w:hint="default"/>
          <w:sz w:val="24"/>
          <w:szCs w:val="24"/>
        </w:rPr>
        <w:t xml:space="preserve">, </w:t>
      </w:r>
      <w:r>
        <w:rPr>
          <w:rFonts w:hint="default"/>
          <w:i/>
          <w:sz w:val="24"/>
          <w:szCs w:val="24"/>
        </w:rPr>
        <w:t xml:space="preserve">12</w:t>
      </w:r>
      <w:r>
        <w:rPr>
          <w:rFonts w:hint="default"/>
          <w:sz w:val="24"/>
          <w:szCs w:val="24"/>
        </w:rPr>
        <w:t xml:space="preserve">, 75034–75060. https://doi.org/10.1109/ACCESS.2024.3400675</w:t>
      </w:r>
    </w:p>
    <w:p w14:paraId="1E1FC5F8">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Toshpulatov, M., Lee, W., Jun, J., &amp; Lee, S. (2025). Deep learning pathways for automatic sign language processing. </w:t>
      </w:r>
      <w:r>
        <w:rPr>
          <w:rFonts w:hint="default"/>
          <w:i/>
          <w:sz w:val="24"/>
          <w:szCs w:val="24"/>
        </w:rPr>
        <w:t xml:space="preserve">Pattern Recognition</w:t>
      </w:r>
      <w:r>
        <w:rPr>
          <w:rFonts w:hint="default"/>
          <w:sz w:val="24"/>
          <w:szCs w:val="24"/>
        </w:rPr>
        <w:t xml:space="preserve">, </w:t>
      </w:r>
      <w:r>
        <w:rPr>
          <w:rFonts w:hint="default"/>
          <w:i/>
          <w:sz w:val="24"/>
          <w:szCs w:val="24"/>
        </w:rPr>
        <w:t xml:space="preserve">164</w:t>
      </w:r>
      <w:r>
        <w:rPr>
          <w:rFonts w:hint="default"/>
          <w:sz w:val="24"/>
          <w:szCs w:val="24"/>
        </w:rPr>
        <w:t xml:space="preserve">, Article 111475. https://doi.org/10.1016/j.patcog.2025.111475</w:t>
      </w:r>
    </w:p>
    <w:p w14:paraId="1F10E079">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University of Bern. (2021). </w:t>
      </w:r>
      <w:r>
        <w:rPr>
          <w:rFonts w:hint="default"/>
          <w:i/>
          <w:sz w:val="24"/>
          <w:szCs w:val="24"/>
        </w:rPr>
        <w:t xml:space="preserve">AI-supported hearing aids: Solving the cocktail party problem with a virtual microphone on the forehead</w:t>
      </w:r>
      <w:r>
        <w:rPr>
          <w:rFonts w:hint="default"/>
          <w:sz w:val="24"/>
          <w:szCs w:val="24"/>
        </w:rPr>
        <w:t xml:space="preserve">. ARTORG Center for Biomedical Engineering Research. https://www.artorg.unibe.ch/</w:t>
      </w:r>
    </w:p>
    <w:p w14:paraId="29429E80">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Venade, F. (2023). </w:t>
      </w:r>
      <w:r>
        <w:rPr>
          <w:rFonts w:hint="default"/>
          <w:i/>
          <w:sz w:val="24"/>
          <w:szCs w:val="24"/>
        </w:rPr>
        <w:t xml:space="preserve">Artificial intelligence and sign language technologies: Recommendations for rights-based development and deployment</w:t>
      </w:r>
      <w:r>
        <w:rPr>
          <w:rFonts w:hint="default"/>
          <w:sz w:val="24"/>
          <w:szCs w:val="24"/>
        </w:rPr>
        <w:t xml:space="preserve">. European Union of the Deaf.</w:t>
      </w:r>
    </w:p>
    <w:p w14:paraId="1B980272">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W3C. (2023). </w:t>
      </w:r>
      <w:r>
        <w:rPr>
          <w:rFonts w:hint="default"/>
          <w:i/>
          <w:sz w:val="24"/>
          <w:szCs w:val="24"/>
        </w:rPr>
        <w:t xml:space="preserve">XR accessibility user requirements</w:t>
      </w:r>
      <w:r>
        <w:rPr>
          <w:rFonts w:hint="default"/>
          <w:sz w:val="24"/>
          <w:szCs w:val="24"/>
        </w:rPr>
        <w:t xml:space="preserve">. https://www.w3.org/TR/xaur/</w:t>
      </w:r>
    </w:p>
    <w:p w14:paraId="14298530">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Westhausen, N. L., Kayser, H., Jansen, T., &amp; Meyer, B. T. (2024). Real-time multichannel deep speech enhancement in hearing aids: Comparing monaural and binaural processing in complex acoustic scenarios. </w:t>
      </w:r>
      <w:r>
        <w:rPr>
          <w:rFonts w:hint="default"/>
          <w:i/>
          <w:sz w:val="24"/>
          <w:szCs w:val="24"/>
        </w:rPr>
        <w:t xml:space="preserve">IEEE/ACM Transactions on Audio, Speech, and Language Processing</w:t>
      </w:r>
      <w:r>
        <w:rPr>
          <w:rFonts w:hint="default"/>
          <w:sz w:val="24"/>
          <w:szCs w:val="24"/>
        </w:rPr>
        <w:t xml:space="preserve">, </w:t>
      </w:r>
      <w:r>
        <w:rPr>
          <w:rFonts w:hint="default"/>
          <w:i/>
          <w:sz w:val="24"/>
          <w:szCs w:val="24"/>
        </w:rPr>
        <w:t xml:space="preserve">32</w:t>
      </w:r>
      <w:r>
        <w:rPr>
          <w:rFonts w:hint="default"/>
          <w:sz w:val="24"/>
          <w:szCs w:val="24"/>
        </w:rPr>
        <w:t xml:space="preserve">, 4596–4606. https://doi.org/10.1109/TASLP.2024.3473315</w:t>
      </w:r>
    </w:p>
    <w:p w14:paraId="56918D14">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Werfel, K. L., &amp; Lund, E. A. (2024). Effects of integrating different types of physical activity into virtual rapid word learning instruction for children who are deaf and hard of hearing. </w:t>
      </w:r>
      <w:r>
        <w:rPr>
          <w:rFonts w:hint="default"/>
          <w:i/>
          <w:sz w:val="24"/>
          <w:szCs w:val="24"/>
        </w:rPr>
        <w:t xml:space="preserve">Topics in Language Disorders</w:t>
      </w:r>
      <w:r>
        <w:rPr>
          <w:rFonts w:hint="default"/>
          <w:sz w:val="24"/>
          <w:szCs w:val="24"/>
        </w:rPr>
        <w:t xml:space="preserve">, </w:t>
      </w:r>
      <w:r>
        <w:rPr>
          <w:rFonts w:hint="default"/>
          <w:i/>
          <w:sz w:val="24"/>
          <w:szCs w:val="24"/>
        </w:rPr>
        <w:t xml:space="preserve">44</w:t>
      </w:r>
      <w:r>
        <w:rPr>
          <w:rFonts w:hint="default"/>
          <w:sz w:val="24"/>
          <w:szCs w:val="24"/>
        </w:rPr>
        <w:t xml:space="preserve">(2), 96–110. https://doi.org/10.1097/TLD.0000000000000338</w:t>
      </w:r>
    </w:p>
    <w:p w14:paraId="7714F7C6">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World Federation of the Deaf. (2024). </w:t>
      </w:r>
      <w:r>
        <w:rPr>
          <w:rFonts w:hint="default"/>
          <w:i/>
          <w:sz w:val="24"/>
          <w:szCs w:val="24"/>
        </w:rPr>
        <w:t xml:space="preserve">Position paper on the right to sign language for families/carers of deaf children</w:t>
      </w:r>
      <w:r>
        <w:rPr>
          <w:rFonts w:hint="default"/>
          <w:sz w:val="24"/>
          <w:szCs w:val="24"/>
        </w:rPr>
        <w:t xml:space="preserve">. https://wfdeaf.org/</w:t>
      </w:r>
    </w:p>
    <w:p w14:paraId="59188A1D">
      <w:pPr>
        <w:keepNext w:val="0"/>
        <w:keepLines w:val="0"/>
        <w:pageBreakBefore w:val="0"/>
        <w:widowControl w:val="0"/>
        <w:kinsoku/>
        <w:wordWrap/>
        <w:overflowPunct/>
        <w:topLinePunct w:val="0"/>
        <w:autoSpaceDE/>
        <w:autoSpaceDN/>
        <w:bidi w:val="0"/>
        <w:adjustRightInd/>
        <w:snapToGrid/>
        <w:spacing w:line="360" w:lineRule="auto"/>
        <w:ind w:left="480" w:hanging="480"/>
        <w:jc w:val="both"/>
        <w:textAlignment w:val="auto"/>
        <w:rPr>
          <w:rFonts w:hint="default"/>
          <w:sz w:val="24"/>
          <w:szCs w:val="24"/>
        </w:rPr>
      </w:pPr>
      <w:r>
        <w:rPr>
          <w:rFonts w:hint="default"/>
          <w:sz w:val="24"/>
          <w:szCs w:val="24"/>
        </w:rPr>
        <w:t xml:space="preserve">World Health Organization. (2021). </w:t>
      </w:r>
      <w:r>
        <w:rPr>
          <w:rFonts w:hint="default"/>
          <w:i/>
          <w:sz w:val="24"/>
          <w:szCs w:val="24"/>
        </w:rPr>
        <w:t xml:space="preserve">World report on hearing</w:t>
      </w:r>
      <w:r>
        <w:rPr>
          <w:rFonts w:hint="default"/>
          <w:sz w:val="24"/>
          <w:szCs w:val="24"/>
        </w:rPr>
        <w:t xml:space="preserve">. https://www.who.int/publications/i/item/9789240020481</w:t>
      </w:r>
    </w:p>
    <w:sectPr>
      <w:headerReference r:id="rId3" w:type="default"/>
      <w:footerReference r:id="rId4"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思源黑体">
    <w:altName w:val="黑体"/>
    <w:panose1 w:val="00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1ED8C">
    <w:pPr>
      <w:jc w:val="center"/>
    </w:pPr>
    <w:r>
      <w:rPr>
        <w:rFonts w:ascii="Times New Roman" w:hAnsi="Times New Roman" w:eastAsia="思源黑体" w:cs="Times New Roman"/>
        <w:sz w:val="20"/>
        <w:szCs w:val="20"/>
      </w:rPr>
      <w:t xml:space="preserve">第 </w:t>
    </w:r>
    <w:r>
      <w:rPr>
        <w:rFonts w:ascii="Times New Roman" w:hAnsi="Times New Roman" w:eastAsia="思源黑体" w:cs="Times New Roman"/>
        <w:sz w:val="20"/>
        <w:szCs w:val="20"/>
      </w:rPr>
      <w:fldChar w:fldCharType="begin"/>
    </w:r>
    <w:r>
      <w:rPr>
        <w:rFonts w:ascii="Times New Roman" w:hAnsi="Times New Roman" w:eastAsia="思源黑体" w:cs="Times New Roman"/>
        <w:sz w:val="20"/>
        <w:szCs w:val="20"/>
      </w:rPr>
      <w:instrText xml:space="preserve">PAGE</w:instrText>
    </w:r>
    <w:r>
      <w:rPr>
        <w:rFonts w:ascii="Times New Roman" w:hAnsi="Times New Roman" w:eastAsia="思源黑体" w:cs="Times New Roman"/>
        <w:sz w:val="20"/>
        <w:szCs w:val="20"/>
      </w:rPr>
      <w:fldChar w:fldCharType="separate"/>
    </w:r>
    <w:r>
      <w:rPr>
        <w:rFonts w:ascii="Times New Roman" w:hAnsi="Times New Roman" w:eastAsia="思源黑体" w:cs="Times New Roman"/>
        <w:sz w:val="20"/>
        <w:szCs w:val="20"/>
      </w:rPr>
      <w:fldChar w:fldCharType="end"/>
    </w:r>
    <w:r>
      <w:rPr>
        <w:rFonts w:ascii="Times New Roman" w:hAnsi="Times New Roman" w:eastAsia="思源黑体" w:cs="Times New Roman"/>
        <w:sz w:val="20"/>
        <w:szCs w:val="20"/>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DC0A1">
    <w:pPr>
      <w:pBdr>
        <w:bottom w:val="single" w:color="808080" w:sz="6" w:space="1"/>
      </w:pBdr>
      <w:jc w:val="center"/>
    </w:pPr>
    <w:r>
      <w:rPr>
        <w:rFonts w:ascii="Times New Roman" w:hAnsi="Times New Roman" w:eastAsia="思源黑体" w:cs="Times New Roman"/>
        <w:i/>
        <w:iCs/>
        <w:sz w:val="18"/>
        <w:szCs w:val="18"/>
      </w:rPr>
      <w:t>AR、助听设备与AI在听障特殊教育中的应用研究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ompat>
    <w:useFELayout/>
    <w:compatSetting w:name="compatibilityMode" w:uri="http://schemas.microsoft.com/office/word" w:val="15"/>
  </w:compat>
  <w:rsids>
    <w:rsidRoot w:val="00000000"/>
    <w:rsid w:val="643B3017"/>
    <w:rsid w:val="723D1A2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思源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思源黑体" w:cs="Times New Roman"/>
      <w:sz w:val="24"/>
      <w:szCs w:val="24"/>
    </w:rPr>
  </w:style>
  <w:style w:type="paragraph" w:styleId="2">
    <w:name w:val="heading 1"/>
    <w:next w:val="1"/>
    <w:qFormat/>
    <w:uiPriority w:val="0"/>
    <w:pPr>
      <w:spacing w:before="320" w:after="200" w:line="480" w:lineRule="auto"/>
      <w:outlineLvl w:val="0"/>
    </w:pPr>
    <w:rPr>
      <w:rFonts w:ascii="Times New Roman" w:hAnsi="Times New Roman" w:eastAsia="思源黑体" w:cs="Times New Roman"/>
      <w:b/>
      <w:bCs/>
      <w:sz w:val="30"/>
      <w:szCs w:val="30"/>
    </w:rPr>
  </w:style>
  <w:style w:type="paragraph" w:styleId="3">
    <w:name w:val="heading 2"/>
    <w:next w:val="1"/>
    <w:qFormat/>
    <w:uiPriority w:val="0"/>
    <w:pPr>
      <w:spacing w:before="220" w:after="140" w:line="480" w:lineRule="auto"/>
      <w:outlineLvl w:val="1"/>
    </w:pPr>
    <w:rPr>
      <w:rFonts w:ascii="Times New Roman" w:hAnsi="Times New Roman" w:eastAsia="思源黑体" w:cs="Times New Roman"/>
      <w:b/>
      <w:bCs/>
      <w:sz w:val="26"/>
      <w:szCs w:val="26"/>
    </w:rPr>
  </w:style>
  <w:style w:type="paragraph" w:styleId="4">
    <w:name w:val="heading 3"/>
    <w:next w:val="1"/>
    <w:qFormat/>
    <w:uiPriority w:val="0"/>
    <w:pPr>
      <w:spacing w:before="180" w:after="120" w:line="480" w:lineRule="auto"/>
      <w:outlineLvl w:val="2"/>
    </w:pPr>
    <w:rPr>
      <w:rFonts w:ascii="Times New Roman" w:hAnsi="Times New Roman" w:eastAsia="思源黑体" w:cs="Times New Roman"/>
      <w:b/>
      <w:bCs/>
      <w:sz w:val="24"/>
      <w:szCs w:val="24"/>
    </w:rPr>
  </w:style>
  <w:style w:type="paragraph" w:styleId="5">
    <w:name w:val="heading 4"/>
    <w:next w:val="1"/>
    <w:qFormat/>
    <w:uiPriority w:val="0"/>
    <w:pPr>
      <w:spacing w:line="480" w:lineRule="auto"/>
    </w:pPr>
    <w:rPr>
      <w:rFonts w:ascii="Times New Roman" w:hAnsi="Times New Roman" w:eastAsia="思源黑体" w:cs="Times New Roman"/>
      <w:i/>
      <w:iCs/>
      <w:color w:val="2E74B5"/>
      <w:sz w:val="24"/>
      <w:szCs w:val="24"/>
    </w:rPr>
  </w:style>
  <w:style w:type="paragraph" w:styleId="6">
    <w:name w:val="heading 5"/>
    <w:next w:val="1"/>
    <w:qFormat/>
    <w:uiPriority w:val="0"/>
    <w:pPr>
      <w:spacing w:line="480" w:lineRule="auto"/>
    </w:pPr>
    <w:rPr>
      <w:rFonts w:ascii="Times New Roman" w:hAnsi="Times New Roman" w:eastAsia="思源黑体" w:cs="Times New Roman"/>
      <w:color w:val="2E74B5"/>
      <w:sz w:val="24"/>
      <w:szCs w:val="24"/>
    </w:rPr>
  </w:style>
  <w:style w:type="paragraph" w:styleId="7">
    <w:name w:val="heading 6"/>
    <w:next w:val="1"/>
    <w:qFormat/>
    <w:uiPriority w:val="0"/>
    <w:pPr>
      <w:spacing w:line="480" w:lineRule="auto"/>
    </w:pPr>
    <w:rPr>
      <w:rFonts w:ascii="Times New Roman" w:hAnsi="Times New Roman" w:eastAsia="思源黑体" w:cs="Times New Roman"/>
      <w:color w:val="1F4D78"/>
      <w:sz w:val="24"/>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hAnsi="Times New Roman" w:eastAsia="思源黑体" w:cs="Times New Roman"/>
      <w:sz w:val="20"/>
      <w:szCs w:val="20"/>
    </w:rPr>
  </w:style>
  <w:style w:type="paragraph" w:styleId="9">
    <w:name w:val="footnote text"/>
    <w:link w:val="17"/>
    <w:semiHidden/>
    <w:unhideWhenUsed/>
    <w:uiPriority w:val="99"/>
    <w:pPr>
      <w:spacing w:after="0" w:line="240" w:lineRule="auto"/>
    </w:pPr>
    <w:rPr>
      <w:rFonts w:ascii="Times New Roman" w:hAnsi="Times New Roman" w:eastAsia="思源黑体" w:cs="Times New Roman"/>
      <w:sz w:val="20"/>
      <w:szCs w:val="20"/>
    </w:rPr>
  </w:style>
  <w:style w:type="paragraph" w:styleId="10">
    <w:name w:val="Title"/>
    <w:qFormat/>
    <w:uiPriority w:val="0"/>
    <w:pPr>
      <w:spacing w:line="480" w:lineRule="auto"/>
    </w:pPr>
    <w:rPr>
      <w:rFonts w:ascii="Times New Roman" w:hAnsi="Times New Roman" w:eastAsia="思源黑体" w:cs="Times New Roman"/>
      <w:sz w:val="56"/>
      <w:szCs w:val="56"/>
    </w:rPr>
  </w:style>
  <w:style w:type="character" w:styleId="13">
    <w:name w:val="endnote reference"/>
    <w:semiHidden/>
    <w:unhideWhenUsed/>
    <w:uiPriority w:val="99"/>
    <w:rPr>
      <w:vertAlign w:val="superscript"/>
    </w:rPr>
  </w:style>
  <w:style w:type="character" w:styleId="14">
    <w:name w:val="Hyperlink"/>
    <w:unhideWhenUsed/>
    <w:uiPriority w:val="99"/>
    <w:rPr>
      <w:color w:val="0563C1"/>
      <w:u w:val="single"/>
    </w:rPr>
  </w:style>
  <w:style w:type="character" w:styleId="15">
    <w:name w:val="footnote reference"/>
    <w:semiHidden/>
    <w:unhideWhenUsed/>
    <w:uiPriority w:val="99"/>
    <w:rPr>
      <w:vertAlign w:val="superscript"/>
    </w:rPr>
  </w:style>
  <w:style w:type="paragraph" w:styleId="16">
    <w:name w:val="List Paragraph"/>
    <w:qFormat/>
    <w:uiPriority w:val="0"/>
    <w:pPr>
      <w:spacing w:line="480" w:lineRule="auto"/>
    </w:pPr>
    <w:rPr>
      <w:rFonts w:ascii="Times New Roman" w:hAnsi="Times New Roman" w:eastAsia="思源黑体" w:cs="Times New Roman"/>
      <w:sz w:val="24"/>
      <w:szCs w:val="24"/>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uiPriority w:val="99"/>
    <w:rPr>
      <w:sz w:val="20"/>
      <w:szCs w:val="20"/>
    </w:rPr>
  </w:style>
</w:styles>
</file>

<file path=word/_rels/document.xml.rels><?xml version="1.0" encoding="UTF-8"?><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13103</Words>
  <Characters>16961</Characters>
  <TotalTime>3</TotalTime>
  <ScaleCrop>false</ScaleCrop>
  <LinksUpToDate>false</LinksUpToDate>
  <CharactersWithSpaces>17568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2026-09-03T02:01:00Z</dcterms:created>
  <dc:creator>Un-named</dc:creator>
  <cp:lastModifiedBy>汤姆</cp:lastModifiedBy>
  <dcterms:modified xsi:type="dcterms:W3CDTF">2026-09-05T06:05:06Z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{"Label":"1","ContentProducer":"001191440300708461136T1WFUO","ProduceID":"2f9d5261fa3e76a3f1808ca3c0e99fe2-m5LL","ReservedCode1":"{\"Type\":\" TC260PG\",\"Version\":1,\"Bindings\":[{\"Type\":\"soft\",\"AlgID\":\"sm3\",\"Value\":\"447e0eef951a1fc8f957e9af2faf1aab161356a2721cdaa48d585765df03004b\"},{\"Type\":\"hash\",\"AlgID\":\"sm3\",\"Value\":\"153adebe111c4baf2445312f701263b4172e9b5fa9a9a9c35249e159a97d4ad4\"}],\"PubSD\":[{\"Type\":\"DS\",\"AlgID\":\"sm2\",\"TBSData\":{\"Type\":\"Binding\",\"BType\":\"hash\"},\"Signature\":\"3045022100953d88dbf2488423e6cb2b6012f96dd852a0a8b4132f20bb07e661b4868d8ff4022060306e73bd5ffd1fcbcfb76303ca0d589feca3226fb598f0105044a240fddf86\"},{\"Type\":\"PubKey\",\"AlgID\":\"sm2\",\"KeyValue\":\"0407f79b28a17a752b3aae4305c98b48978213832729a2571850b1310b2bc9fe8fee039ccf25ebfeac27502414d9fcef792d777183c98893d226171c2f7a3289a2\"}],\"Extension\":{\"Timestamp\":1788590051,\"KeyVersion\":\"v1-TxLeOmf7bqU223\"}}","ContentPropagator":"001191440300708461136T1WFUO","PropagateID":"2f9d5261fa3e76a3f1808ca3c0e99fe2-m5LL","ReservedCode2":"{\"Type\":\" TC260PG\",\"Version\":1,\"Bindings\":[{\"Type\":\"soft\",\"AlgID\":\"sm3\",\"Value\":\"447e0eef951a1fc8f957e9af2faf1aab161356a2721cdaa48d585765df03004b\"},{\"Type\":\"hash\",\"AlgID\":\"sm3\",\"Value\":\"153adebe111c4baf2445312f701263b4172e9b5fa9a9a9c35249e159a97d4ad4\"}],\"PubSD\":[{\"Type\":\"DS\",\"AlgID\":\"sm2\",\"TBSData\":{\"Type\":\"Binding\",\"BType\":\"hash\"},\"Signature\":\"304402203af08c7571d54bb664d3ef919dfbdc55e7ca882bdbe1d70bf968e0a83bc4ec32022054a515f4070f2afc98d00ed813924eb96782ad45b8b4c01a41eca38cf6a4d58f\"},{\"Type\":\"PubKey\",\"AlgID\":\"sm2\",\"KeyValue\":\"0407f79b28a17a752b3aae4305c98b48978213832729a2571850b1310b2bc9fe8fee039ccf25ebfeac27502414d9fcef792d777183c98893d226171c2f7a3289a2\"}],\"Extension\":{\"Timestamp\":1788590051,\"KeyVersion\":\"v1-TxLeOmf7bqU223\"}}"}</vt:lpwstr>
  </property>
  <property fmtid="{D5CDD505-2E9C-101B-9397-08002B2CF9AE}" pid="3" name="KSOTemplateDocerSaveRecord">
    <vt:lpwstr>eyJoZGlkIjoiNDYxNGM0OGJlNTUxMzk0OTc0Y2VmNTUxNmE1NWIwMGYiLCJ1c2VySWQiOiIxNjkxMzU0MTc2In0=</vt:lpwstr>
  </property>
  <property fmtid="{D5CDD505-2E9C-101B-9397-08002B2CF9AE}" pid="4" name="KSOProductBuildVer">
    <vt:lpwstr>2052-12.1.0.28505</vt:lpwstr>
  </property>
  <property fmtid="{D5CDD505-2E9C-101B-9397-08002B2CF9AE}" pid="5" name="ICV">
    <vt:lpwstr>7A120D88D8494BF48E9B9992C5714AD2_12</vt:lpwstr>
  </property>
</Properties>
</file>