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Style14"/>
        <w:spacing w:lineRule="auto" w:line="288" w:before="480" w:after="480"/>
        <w:ind w:left="0" w:hanging="0"/>
        <w:rPr/>
      </w:pPr>
      <w:r>
        <w:rPr/>
      </w:r>
    </w:p>
    <w:p>
      <w:pPr>
        <w:pStyle w:val="1"/>
        <w:rPr/>
      </w:pPr>
      <w:r>
        <w:rPr/>
        <w:t>A Case Study on Early Identification, Screening and Assessment of Toddlers with Autism Spectrum Disorder (ASD)</w:t>
      </w:r>
    </w:p>
    <w:p>
      <w:pPr>
        <w:pStyle w:val="2"/>
        <w:rPr/>
      </w:pPr>
      <w:r>
        <w:rPr/>
        <w:t>Abstract</w:t>
      </w:r>
    </w:p>
    <w:p>
      <w:pPr>
        <w:pStyle w:val="Normal"/>
        <w:rPr/>
      </w:pPr>
      <w:r>
        <w:rPr/>
        <w:t>Autism Spectrum Disorder (ASD) is a neurodevelopmental disorder characterized by persistent deficits in social</w:t>
        <w:noBreakHyphen/>
        <w:t>communication, repetitive</w:t>
        <w:noBreakHyphen/>
        <w:t>stereotyped behaviours and restricted interests. A complete workflow of early identification, evidence</w:t>
        <w:noBreakHyphen/>
        <w:t>based screening, assessment, referral, intervention and follow</w:t>
        <w:noBreakHyphen/>
        <w:t>up can greatly improve long</w:t>
        <w:noBreakHyphen/>
        <w:t>term developmental outcomes for toddlers. This study takes a fictional 24</w:t>
        <w:noBreakHyphen/>
        <w:t>month</w:t>
        <w:noBreakHyphen/>
        <w:t>old toddler named Liam as the case example. It completes the whole procedures including case profile construction, risk</w:t>
        <w:noBreakHyphen/>
        <w:t>factor analysis, multi</w:t>
        <w:noBreakHyphen/>
        <w:t>domain early warning indicators identification, evaluation of evidence</w:t>
        <w:noBreakHyphen/>
        <w:t>based screening tools, screening decision</w:t>
        <w:noBreakHyphen/>
        <w:t>making, comprehensive diagnostic assessment, early</w:t>
        <w:noBreakHyphen/>
        <w:t>intervention recommendations, monitoring and rescreening. This study strictly distinguishes screening tools from diagnostic assessment tools. It emphasizes that positive screening results do not equal a formal diagnosis. Screening outcomes only serve as the basis for referral, and final diagnosis requires multidisciplinary comprehensive assessment. Domestic and international literature supports every clinical decision, providing a complete case demonstration for early identification of ASD in children aged 0</w:t>
        <w:noBreakHyphen/>
        <w:t>3 years old.</w:t>
      </w:r>
    </w:p>
    <w:p>
      <w:pPr>
        <w:pStyle w:val="Normal"/>
        <w:rPr/>
      </w:pPr>
      <w:r>
        <w:rPr>
          <w:b/>
          <w:bCs/>
        </w:rPr>
        <w:t>Keywords</w:t>
      </w:r>
      <w:r>
        <w:rPr/>
        <w:t>: Autism Spectrum Disorder; early identification; toddler; screening tool; M</w:t>
        <w:noBreakHyphen/>
        <w:t>CHAT</w:t>
        <w:noBreakHyphen/>
        <w:t>R/F; ASQ</w:t>
        <w:noBreakHyphen/>
        <w:t>3; early intervention</w:t>
      </w:r>
    </w:p>
    <w:p>
      <w:pPr>
        <w:pStyle w:val="2"/>
        <w:rPr/>
      </w:pPr>
      <w:r>
        <w:rPr/>
        <w:t>1. Introduction</w:t>
      </w:r>
    </w:p>
    <w:p>
      <w:pPr>
        <w:pStyle w:val="Normal"/>
        <w:rPr/>
      </w:pPr>
      <w:r>
        <w:rPr/>
        <w:t>The global prevalence of ASD keeps rising. The American Academy of Pediatrics (AAP) recommends specialised ASD screening for all toddlers at 18</w:t>
        <w:noBreakHyphen/>
        <w:t>month and 24</w:t>
        <w:noBreakHyphen/>
        <w:t>month well</w:t>
        <w:noBreakHyphen/>
        <w:t>child visits. Delivering intervention within the critical window of 0</w:t>
        <w:noBreakHyphen/>
        <w:t>3 years old, when brain neuroplasticity is the strongest, can optimise outcomes for social</w:t>
        <w:noBreakHyphen/>
        <w:t>communication and adaptive functioning. Nevertheless, common problems exist in front</w:t>
        <w:noBreakHyphen/>
        <w:t>line practice: confusing screening and diagnosis, making diagnoses merely based on questionnaire results, ignoring family background and cultural</w:t>
        <w:noBreakHyphen/>
        <w:t>linguistic factors, and listing risk factors without causal analysis.</w:t>
      </w:r>
    </w:p>
    <w:p>
      <w:pPr>
        <w:pStyle w:val="Normal"/>
        <w:rPr/>
      </w:pPr>
      <w:r>
        <w:rPr/>
        <w:t>Early identification is not a one</w:t>
        <w:noBreakHyphen/>
        <w:t>off test but a continuous process: developmental monitoring → identifying red</w:t>
        <w:noBreakHyphen/>
        <w:t>flag warning signs → assessment via standardised screening tools → clinical decision</w:t>
        <w:noBreakHyphen/>
        <w:t>making according to screening results (monitor / rescreen / refer for comprehensive assessment / immediate intervention) → multidisciplinary diagnostic assessment → developing individualised intervention plans → ongoing progress monitoring and regular rescreening for plan adjustment.</w:t>
      </w:r>
    </w:p>
    <w:p>
      <w:pPr>
        <w:pStyle w:val="Normal"/>
        <w:rPr/>
      </w:pPr>
      <w:r>
        <w:rPr/>
        <w:t>Following the framework of course assignments, this case report selects a 24</w:t>
        <w:noBreakHyphen/>
        <w:t>month</w:t>
        <w:noBreakHyphen/>
        <w:t>old toddler and covers six modules: A Child Profile, B Risk</w:t>
        <w:noBreakHyphen/>
        <w:t>Factors Investigation, C Early Warning Indicators, D Select Suitable Screening Tools, E Screening Decision, F Early Intervention Recommendations. Limitations and reflections are discussed with reference to evidence</w:t>
        <w:noBreakHyphen/>
        <w:t>based literature.</w:t>
      </w:r>
    </w:p>
    <w:p>
      <w:pPr>
        <w:pStyle w:val="2"/>
        <w:rPr/>
      </w:pPr>
      <w:r>
        <w:rPr/>
        <w:t>2. Case Construction (Part A: Child Profile)</w:t>
      </w:r>
    </w:p>
    <w:p>
      <w:pPr>
        <w:pStyle w:val="Normal"/>
        <w:rPr/>
      </w:pPr>
      <w:r>
        <w:rPr/>
        <w:t>Fictional case: Liam (pseudonym)</w:t>
      </w:r>
    </w:p>
    <w:p>
      <w:pPr>
        <w:pStyle w:val="Normal"/>
        <w:rPr/>
      </w:pPr>
      <w:r>
        <w:rPr/>
        <w:t>Pseudonym: Liam</w:t>
      </w:r>
    </w:p>
    <w:p>
      <w:pPr>
        <w:pStyle w:val="Normal"/>
        <w:rPr/>
      </w:pPr>
      <w:r>
        <w:rPr/>
        <w:t>Age: 24 months (2</w:t>
        <w:noBreakHyphen/>
        <w:t>year</w:t>
        <w:noBreakHyphen/>
        <w:t>old toddler)</w:t>
      </w:r>
    </w:p>
    <w:p>
      <w:pPr>
        <w:pStyle w:val="Normal"/>
        <w:rPr/>
      </w:pPr>
      <w:r>
        <w:rPr/>
        <w:t>Gender: Male</w:t>
      </w:r>
    </w:p>
    <w:p>
      <w:pPr>
        <w:pStyle w:val="Normal"/>
        <w:rPr/>
      </w:pPr>
      <w:r>
        <w:rPr/>
        <w:t>Family and background: Nuclear family with two employed parents, middle socioeconomic status; only child in the family. Parents are native English speakers, and the household is bilingual; the mother occasionally speaks her native language at home. The family lacks sufficient play stimulation resources for the toddler. Liam is cared for by his grandparents on workdays. Grandparents rarely initiate two</w:t>
        <w:noBreakHyphen/>
        <w:t>way social interactions with the child and often let him watch short</w:t>
        <w:noBreakHyphen/>
        <w:t>form videos alone.</w:t>
      </w:r>
    </w:p>
    <w:p>
      <w:pPr>
        <w:pStyle w:val="Normal"/>
        <w:rPr/>
      </w:pPr>
      <w:r>
        <w:rPr/>
        <w:t>Birth and developmental history: Full</w:t>
        <w:noBreakHyphen/>
        <w:t>term vaginal delivery, birth weight 2450 g (low birth weight), no birth asphyxia. Gross motor milestones are generally achieved: independent walking at 13 months. Language development is markedly delayed: he only produces a small number of meaningless syllables at 18 months, and still has no meaningful words at 24 months. He could play peek</w:t>
        <w:noBreakHyphen/>
        <w:t>a</w:t>
        <w:noBreakHyphen/>
        <w:t>boo at 12 months, yet his social interactions gradually decreased afterwards.</w:t>
      </w:r>
    </w:p>
    <w:p>
      <w:pPr>
        <w:pStyle w:val="Normal"/>
        <w:rPr/>
      </w:pPr>
      <w:r>
        <w:rPr/>
        <w:t>Medical or health history: No major chronic illnesses. Newborn hearing screening passed. Parents suspect that he sometimes does not respond when his name is called. No history of convulsions.</w:t>
      </w:r>
    </w:p>
    <w:p>
      <w:pPr>
        <w:pStyle w:val="Normal"/>
        <w:rPr/>
      </w:pPr>
      <w:r>
        <w:rPr/>
        <w:t>Family concerns: Two main parental worries: ① The child cannot speak yet; ② Rare eye contact, frequent non</w:t>
        <w:noBreakHyphen/>
        <w:t>response to name</w:t>
        <w:noBreakHyphen/>
        <w:t>calling. He repeatedly lines up toy cars during play and refuses interactive games with adults. At first, parents attributed it to “boys talk late”, until a community paediatrician advised further assessment.</w:t>
      </w:r>
    </w:p>
    <w:p>
      <w:pPr>
        <w:pStyle w:val="Normal"/>
        <w:rPr/>
      </w:pPr>
      <w:r>
        <w:rPr/>
        <w:t>Educational or childcare setting: Not enrolled in childcare services; cared for by grandparents at home with limited peer social opportunities.</w:t>
      </w:r>
    </w:p>
    <w:p>
      <w:pPr>
        <w:pStyle w:val="Normal"/>
        <w:rPr/>
      </w:pPr>
      <w:r>
        <w:rPr/>
        <w:t>Current developmental concerns</w:t>
      </w:r>
    </w:p>
    <w:p>
      <w:pPr>
        <w:pStyle w:val="Normal"/>
        <w:rPr/>
      </w:pPr>
      <w:r>
        <w:rPr/>
        <w:t>Communication</w:t>
        <w:noBreakHyphen/>
        <w:t>language: No meaningful words at 24 months; does not point to objects to make requests; does not show toys to adults; rarely imitates adult actions.</w:t>
      </w:r>
    </w:p>
    <w:p>
      <w:pPr>
        <w:pStyle w:val="Normal"/>
        <w:rPr/>
      </w:pPr>
      <w:r>
        <w:rPr/>
        <w:t>Social</w:t>
        <w:noBreakHyphen/>
        <w:t>emotional: Rare eye contact; poor response to name</w:t>
        <w:noBreakHyphen/>
        <w:t>calling; limited response to adult teasing and facial expressions; does not actively seek to share joy; shows little difference in reactions to strangers versus family members.</w:t>
      </w:r>
    </w:p>
    <w:p>
      <w:pPr>
        <w:pStyle w:val="Normal"/>
        <w:rPr/>
      </w:pPr>
      <w:r>
        <w:rPr/>
        <w:t>Behaviour: Repeatedly lines up toy cars, repeatedly opens and closes boxes; highly fascinated by rotating objects; resists changes to daily routines and easily has tantrums during dressing or going out.</w:t>
      </w:r>
    </w:p>
    <w:p>
      <w:pPr>
        <w:pStyle w:val="Normal"/>
        <w:rPr/>
      </w:pPr>
      <w:r>
        <w:rPr/>
        <w:t>Relevant behavioural observations (observed during the well</w:t>
        <w:noBreakHyphen/>
        <w:t>child visit): Liam rarely looks toward the assessor. After picking up toys, he engages in stereotyped lining</w:t>
        <w:noBreakHyphen/>
        <w:t>up alone and does not hand toys to adults. He does not point. When adults initiate games, he avoids interaction and plays by himself. Purposeless spinning occurs occasionally.</w:t>
      </w:r>
    </w:p>
    <w:p>
      <w:pPr>
        <w:pStyle w:val="Normal"/>
        <w:rPr/>
      </w:pPr>
      <w:r>
        <w:rPr/>
        <w:t>Strengths and interests: Acceptable fine motor skills; can stack 5 building blocks. Strong interest in mechanical items and toy cars. Acute hearing, can detect faint distant sounds. Remains emotionally calm during solitary play.</w:t>
      </w:r>
    </w:p>
    <w:tbl>
      <w:tblPr>
        <w:tblW w:w="5000" w:type="pct"/>
        <w:jc w:val="left"/>
        <w:tblInd w:w="0" w:type="dxa"/>
        <w:tblLayout w:type="fixed"/>
        <w:tblCellMar>
          <w:top w:w="60" w:type="dxa"/>
          <w:left w:w="120" w:type="dxa"/>
          <w:bottom w:w="30" w:type="dxa"/>
          <w:right w:w="120" w:type="dxa"/>
        </w:tblCellMar>
      </w:tblPr>
      <w:tblGrid>
        <w:gridCol w:w="3008"/>
        <w:gridCol w:w="3009"/>
        <w:gridCol w:w="3009"/>
      </w:tblGrid>
      <w:tr>
        <w:trPr/>
        <w:tc>
          <w:tcPr>
            <w:tcW w:w="3008" w:type="dxa"/>
            <w:tcBorders>
              <w:top w:val="single" w:sz="6" w:space="0" w:color="DEE0E3"/>
              <w:left w:val="single" w:sz="6" w:space="0" w:color="DEE0E3"/>
              <w:bottom w:val="single" w:sz="6" w:space="0" w:color="DEE0E3"/>
              <w:right w:val="single" w:sz="6" w:space="0" w:color="DEE0E3"/>
            </w:tcBorders>
          </w:tcPr>
          <w:p>
            <w:pPr>
              <w:pStyle w:val="2"/>
              <w:spacing w:before="320" w:after="120"/>
              <w:rPr>
                <w:sz w:val="24"/>
                <w:szCs w:val="24"/>
              </w:rPr>
            </w:pPr>
            <w:r>
              <w:rPr>
                <w:sz w:val="24"/>
                <w:szCs w:val="24"/>
              </w:rPr>
            </w:r>
          </w:p>
        </w:tc>
        <w:tc>
          <w:tcPr>
            <w:tcW w:w="3009" w:type="dxa"/>
            <w:tcBorders>
              <w:top w:val="single" w:sz="6" w:space="0" w:color="DEE0E3"/>
              <w:left w:val="single" w:sz="6" w:space="0" w:color="DEE0E3"/>
              <w:bottom w:val="single" w:sz="6" w:space="0" w:color="DEE0E3"/>
              <w:right w:val="single" w:sz="6" w:space="0" w:color="DEE0E3"/>
            </w:tcBorders>
          </w:tcPr>
          <w:p>
            <w:pPr>
              <w:pStyle w:val="2"/>
              <w:spacing w:before="320" w:after="120"/>
              <w:rPr>
                <w:sz w:val="24"/>
                <w:szCs w:val="24"/>
              </w:rPr>
            </w:pPr>
            <w:r>
              <w:rPr>
                <w:sz w:val="24"/>
                <w:szCs w:val="24"/>
              </w:rPr>
            </w:r>
          </w:p>
        </w:tc>
        <w:tc>
          <w:tcPr>
            <w:tcW w:w="3009" w:type="dxa"/>
            <w:tcBorders>
              <w:top w:val="single" w:sz="6" w:space="0" w:color="DEE0E3"/>
              <w:left w:val="single" w:sz="6" w:space="0" w:color="DEE0E3"/>
              <w:bottom w:val="single" w:sz="6" w:space="0" w:color="DEE0E3"/>
              <w:right w:val="single" w:sz="6" w:space="0" w:color="DEE0E3"/>
            </w:tcBorders>
          </w:tcPr>
          <w:p>
            <w:pPr>
              <w:pStyle w:val="2"/>
              <w:spacing w:before="320" w:after="120"/>
              <w:rPr>
                <w:sz w:val="24"/>
                <w:szCs w:val="24"/>
              </w:rPr>
            </w:pPr>
            <w:r>
              <w:rPr>
                <w:sz w:val="24"/>
                <w:szCs w:val="24"/>
              </w:rPr>
            </w:r>
          </w:p>
        </w:tc>
      </w:tr>
      <w:tr>
        <w:trPr/>
        <w:tc>
          <w:tcPr>
            <w:tcW w:w="3008" w:type="dxa"/>
            <w:tcBorders>
              <w:top w:val="single" w:sz="6" w:space="0" w:color="DEE0E3"/>
              <w:left w:val="single" w:sz="6" w:space="0" w:color="DEE0E3"/>
              <w:bottom w:val="single" w:sz="6" w:space="0" w:color="DEE0E3"/>
              <w:right w:val="single" w:sz="6" w:space="0" w:color="DEE0E3"/>
            </w:tcBorders>
          </w:tcPr>
          <w:p>
            <w:pPr>
              <w:pStyle w:val="2"/>
              <w:spacing w:before="320" w:after="120"/>
              <w:rPr>
                <w:sz w:val="24"/>
                <w:szCs w:val="24"/>
              </w:rPr>
            </w:pPr>
            <w:r>
              <w:rPr>
                <w:sz w:val="24"/>
                <w:szCs w:val="24"/>
              </w:rPr>
            </w:r>
          </w:p>
        </w:tc>
        <w:tc>
          <w:tcPr>
            <w:tcW w:w="3009" w:type="dxa"/>
            <w:tcBorders>
              <w:top w:val="single" w:sz="6" w:space="0" w:color="DEE0E3"/>
              <w:left w:val="single" w:sz="6" w:space="0" w:color="DEE0E3"/>
              <w:bottom w:val="single" w:sz="6" w:space="0" w:color="DEE0E3"/>
              <w:right w:val="single" w:sz="6" w:space="0" w:color="DEE0E3"/>
            </w:tcBorders>
          </w:tcPr>
          <w:p>
            <w:pPr>
              <w:pStyle w:val="2"/>
              <w:spacing w:before="320" w:after="120"/>
              <w:rPr>
                <w:sz w:val="24"/>
                <w:szCs w:val="24"/>
              </w:rPr>
            </w:pPr>
            <w:r>
              <w:rPr>
                <w:sz w:val="24"/>
                <w:szCs w:val="24"/>
              </w:rPr>
            </w:r>
          </w:p>
        </w:tc>
        <w:tc>
          <w:tcPr>
            <w:tcW w:w="3009" w:type="dxa"/>
            <w:tcBorders>
              <w:top w:val="single" w:sz="6" w:space="0" w:color="DEE0E3"/>
              <w:left w:val="single" w:sz="6" w:space="0" w:color="DEE0E3"/>
              <w:bottom w:val="single" w:sz="6" w:space="0" w:color="DEE0E3"/>
              <w:right w:val="single" w:sz="6" w:space="0" w:color="DEE0E3"/>
            </w:tcBorders>
          </w:tcPr>
          <w:p>
            <w:pPr>
              <w:pStyle w:val="2"/>
              <w:spacing w:before="320" w:after="120"/>
              <w:rPr>
                <w:sz w:val="24"/>
                <w:szCs w:val="24"/>
              </w:rPr>
            </w:pPr>
            <w:r>
              <w:rPr>
                <w:sz w:val="24"/>
                <w:szCs w:val="24"/>
              </w:rPr>
            </w:r>
          </w:p>
        </w:tc>
      </w:tr>
      <w:tr>
        <w:trPr/>
        <w:tc>
          <w:tcPr>
            <w:tcW w:w="3008" w:type="dxa"/>
            <w:tcBorders>
              <w:top w:val="single" w:sz="6" w:space="0" w:color="DEE0E3"/>
              <w:left w:val="single" w:sz="6" w:space="0" w:color="DEE0E3"/>
              <w:bottom w:val="single" w:sz="6" w:space="0" w:color="DEE0E3"/>
              <w:right w:val="single" w:sz="6" w:space="0" w:color="DEE0E3"/>
            </w:tcBorders>
          </w:tcPr>
          <w:p>
            <w:pPr>
              <w:pStyle w:val="2"/>
              <w:spacing w:before="320" w:after="120"/>
              <w:rPr>
                <w:sz w:val="24"/>
                <w:szCs w:val="24"/>
              </w:rPr>
            </w:pPr>
            <w:r>
              <w:rPr>
                <w:sz w:val="24"/>
                <w:szCs w:val="24"/>
              </w:rPr>
            </w:r>
          </w:p>
        </w:tc>
        <w:tc>
          <w:tcPr>
            <w:tcW w:w="3009" w:type="dxa"/>
            <w:tcBorders>
              <w:top w:val="single" w:sz="6" w:space="0" w:color="DEE0E3"/>
              <w:left w:val="single" w:sz="6" w:space="0" w:color="DEE0E3"/>
              <w:bottom w:val="single" w:sz="6" w:space="0" w:color="DEE0E3"/>
              <w:right w:val="single" w:sz="6" w:space="0" w:color="DEE0E3"/>
            </w:tcBorders>
          </w:tcPr>
          <w:p>
            <w:pPr>
              <w:pStyle w:val="2"/>
              <w:spacing w:before="320" w:after="120"/>
              <w:rPr>
                <w:sz w:val="24"/>
                <w:szCs w:val="24"/>
              </w:rPr>
            </w:pPr>
            <w:r>
              <w:rPr>
                <w:sz w:val="24"/>
                <w:szCs w:val="24"/>
              </w:rPr>
            </w:r>
          </w:p>
        </w:tc>
        <w:tc>
          <w:tcPr>
            <w:tcW w:w="3009" w:type="dxa"/>
            <w:tcBorders>
              <w:top w:val="single" w:sz="6" w:space="0" w:color="DEE0E3"/>
              <w:left w:val="single" w:sz="6" w:space="0" w:color="DEE0E3"/>
              <w:bottom w:val="single" w:sz="6" w:space="0" w:color="DEE0E3"/>
              <w:right w:val="single" w:sz="6" w:space="0" w:color="DEE0E3"/>
            </w:tcBorders>
          </w:tcPr>
          <w:p>
            <w:pPr>
              <w:pStyle w:val="2"/>
              <w:spacing w:before="320" w:after="120"/>
              <w:rPr>
                <w:sz w:val="24"/>
                <w:szCs w:val="24"/>
              </w:rPr>
            </w:pPr>
            <w:r>
              <w:rPr>
                <w:sz w:val="24"/>
                <w:szCs w:val="24"/>
              </w:rPr>
            </w:r>
          </w:p>
        </w:tc>
      </w:tr>
      <w:tr>
        <w:trPr/>
        <w:tc>
          <w:tcPr>
            <w:tcW w:w="3008" w:type="dxa"/>
            <w:tcBorders>
              <w:top w:val="single" w:sz="6" w:space="0" w:color="DEE0E3"/>
              <w:left w:val="single" w:sz="6" w:space="0" w:color="DEE0E3"/>
              <w:bottom w:val="single" w:sz="6" w:space="0" w:color="DEE0E3"/>
              <w:right w:val="single" w:sz="6" w:space="0" w:color="DEE0E3"/>
            </w:tcBorders>
          </w:tcPr>
          <w:p>
            <w:pPr>
              <w:pStyle w:val="2"/>
              <w:spacing w:before="320" w:after="120"/>
              <w:rPr>
                <w:sz w:val="24"/>
                <w:szCs w:val="24"/>
              </w:rPr>
            </w:pPr>
            <w:r>
              <w:rPr>
                <w:sz w:val="24"/>
                <w:szCs w:val="24"/>
              </w:rPr>
            </w:r>
          </w:p>
        </w:tc>
        <w:tc>
          <w:tcPr>
            <w:tcW w:w="3009" w:type="dxa"/>
            <w:tcBorders>
              <w:top w:val="single" w:sz="6" w:space="0" w:color="DEE0E3"/>
              <w:left w:val="single" w:sz="6" w:space="0" w:color="DEE0E3"/>
              <w:bottom w:val="single" w:sz="6" w:space="0" w:color="DEE0E3"/>
              <w:right w:val="single" w:sz="6" w:space="0" w:color="DEE0E3"/>
            </w:tcBorders>
          </w:tcPr>
          <w:p>
            <w:pPr>
              <w:pStyle w:val="2"/>
              <w:spacing w:before="320" w:after="120"/>
              <w:rPr>
                <w:sz w:val="24"/>
                <w:szCs w:val="24"/>
              </w:rPr>
            </w:pPr>
            <w:r>
              <w:rPr>
                <w:sz w:val="24"/>
                <w:szCs w:val="24"/>
              </w:rPr>
            </w:r>
          </w:p>
        </w:tc>
        <w:tc>
          <w:tcPr>
            <w:tcW w:w="3009" w:type="dxa"/>
            <w:tcBorders>
              <w:top w:val="single" w:sz="6" w:space="0" w:color="DEE0E3"/>
              <w:left w:val="single" w:sz="6" w:space="0" w:color="DEE0E3"/>
              <w:bottom w:val="single" w:sz="6" w:space="0" w:color="DEE0E3"/>
              <w:right w:val="single" w:sz="6" w:space="0" w:color="DEE0E3"/>
            </w:tcBorders>
          </w:tcPr>
          <w:p>
            <w:pPr>
              <w:pStyle w:val="2"/>
              <w:spacing w:before="320" w:after="120"/>
              <w:rPr>
                <w:sz w:val="24"/>
                <w:szCs w:val="24"/>
              </w:rPr>
            </w:pPr>
            <w:r>
              <w:rPr>
                <w:sz w:val="24"/>
                <w:szCs w:val="24"/>
              </w:rPr>
            </w:r>
          </w:p>
        </w:tc>
      </w:tr>
      <w:tr>
        <w:trPr/>
        <w:tc>
          <w:tcPr>
            <w:tcW w:w="3008" w:type="dxa"/>
            <w:tcBorders>
              <w:top w:val="single" w:sz="6" w:space="0" w:color="DEE0E3"/>
              <w:left w:val="single" w:sz="6" w:space="0" w:color="DEE0E3"/>
              <w:bottom w:val="single" w:sz="6" w:space="0" w:color="DEE0E3"/>
              <w:right w:val="single" w:sz="6" w:space="0" w:color="DEE0E3"/>
            </w:tcBorders>
          </w:tcPr>
          <w:p>
            <w:pPr>
              <w:pStyle w:val="2"/>
              <w:spacing w:before="320" w:after="120"/>
              <w:rPr>
                <w:sz w:val="24"/>
                <w:szCs w:val="24"/>
              </w:rPr>
            </w:pPr>
            <w:r>
              <w:rPr>
                <w:sz w:val="24"/>
                <w:szCs w:val="24"/>
              </w:rPr>
            </w:r>
          </w:p>
        </w:tc>
        <w:tc>
          <w:tcPr>
            <w:tcW w:w="3009" w:type="dxa"/>
            <w:tcBorders>
              <w:top w:val="single" w:sz="6" w:space="0" w:color="DEE0E3"/>
              <w:left w:val="single" w:sz="6" w:space="0" w:color="DEE0E3"/>
              <w:bottom w:val="single" w:sz="6" w:space="0" w:color="DEE0E3"/>
              <w:right w:val="single" w:sz="6" w:space="0" w:color="DEE0E3"/>
            </w:tcBorders>
          </w:tcPr>
          <w:p>
            <w:pPr>
              <w:pStyle w:val="2"/>
              <w:spacing w:before="320" w:after="120"/>
              <w:rPr>
                <w:sz w:val="24"/>
                <w:szCs w:val="24"/>
              </w:rPr>
            </w:pPr>
            <w:r>
              <w:rPr>
                <w:sz w:val="24"/>
                <w:szCs w:val="24"/>
              </w:rPr>
            </w:r>
          </w:p>
        </w:tc>
        <w:tc>
          <w:tcPr>
            <w:tcW w:w="3009" w:type="dxa"/>
            <w:tcBorders>
              <w:top w:val="single" w:sz="6" w:space="0" w:color="DEE0E3"/>
              <w:left w:val="single" w:sz="6" w:space="0" w:color="DEE0E3"/>
              <w:bottom w:val="single" w:sz="6" w:space="0" w:color="DEE0E3"/>
              <w:right w:val="single" w:sz="6" w:space="0" w:color="DEE0E3"/>
            </w:tcBorders>
          </w:tcPr>
          <w:p>
            <w:pPr>
              <w:pStyle w:val="2"/>
              <w:spacing w:before="320" w:after="120"/>
              <w:rPr>
                <w:sz w:val="24"/>
                <w:szCs w:val="24"/>
              </w:rPr>
            </w:pPr>
            <w:r>
              <w:rPr>
                <w:sz w:val="24"/>
                <w:szCs w:val="24"/>
              </w:rPr>
            </w:r>
          </w:p>
        </w:tc>
      </w:tr>
      <w:tr>
        <w:trPr/>
        <w:tc>
          <w:tcPr>
            <w:tcW w:w="3008" w:type="dxa"/>
            <w:tcBorders>
              <w:top w:val="single" w:sz="6" w:space="0" w:color="DEE0E3"/>
              <w:left w:val="single" w:sz="6" w:space="0" w:color="DEE0E3"/>
              <w:bottom w:val="single" w:sz="6" w:space="0" w:color="DEE0E3"/>
              <w:right w:val="single" w:sz="6" w:space="0" w:color="DEE0E3"/>
            </w:tcBorders>
          </w:tcPr>
          <w:p>
            <w:pPr>
              <w:pStyle w:val="2"/>
              <w:spacing w:before="320" w:after="120"/>
              <w:rPr>
                <w:sz w:val="24"/>
                <w:szCs w:val="24"/>
              </w:rPr>
            </w:pPr>
            <w:r>
              <w:rPr>
                <w:sz w:val="24"/>
                <w:szCs w:val="24"/>
              </w:rPr>
            </w:r>
          </w:p>
        </w:tc>
        <w:tc>
          <w:tcPr>
            <w:tcW w:w="3009" w:type="dxa"/>
            <w:tcBorders>
              <w:top w:val="single" w:sz="6" w:space="0" w:color="DEE0E3"/>
              <w:left w:val="single" w:sz="6" w:space="0" w:color="DEE0E3"/>
              <w:bottom w:val="single" w:sz="6" w:space="0" w:color="DEE0E3"/>
              <w:right w:val="single" w:sz="6" w:space="0" w:color="DEE0E3"/>
            </w:tcBorders>
          </w:tcPr>
          <w:p>
            <w:pPr>
              <w:pStyle w:val="2"/>
              <w:spacing w:before="320" w:after="120"/>
              <w:rPr>
                <w:sz w:val="24"/>
                <w:szCs w:val="24"/>
              </w:rPr>
            </w:pPr>
            <w:r>
              <w:rPr>
                <w:sz w:val="24"/>
                <w:szCs w:val="24"/>
              </w:rPr>
            </w:r>
          </w:p>
        </w:tc>
        <w:tc>
          <w:tcPr>
            <w:tcW w:w="3009" w:type="dxa"/>
            <w:tcBorders>
              <w:top w:val="single" w:sz="6" w:space="0" w:color="DEE0E3"/>
              <w:left w:val="single" w:sz="6" w:space="0" w:color="DEE0E3"/>
              <w:bottom w:val="single" w:sz="6" w:space="0" w:color="DEE0E3"/>
              <w:right w:val="single" w:sz="6" w:space="0" w:color="DEE0E3"/>
            </w:tcBorders>
          </w:tcPr>
          <w:p>
            <w:pPr>
              <w:pStyle w:val="2"/>
              <w:spacing w:before="320" w:after="120"/>
              <w:rPr>
                <w:sz w:val="24"/>
                <w:szCs w:val="24"/>
              </w:rPr>
            </w:pPr>
            <w:r>
              <w:rPr>
                <w:sz w:val="24"/>
                <w:szCs w:val="24"/>
              </w:rPr>
            </w:r>
          </w:p>
        </w:tc>
      </w:tr>
      <w:tr>
        <w:trPr/>
        <w:tc>
          <w:tcPr>
            <w:tcW w:w="3008" w:type="dxa"/>
            <w:tcBorders>
              <w:top w:val="single" w:sz="6" w:space="0" w:color="DEE0E3"/>
              <w:left w:val="single" w:sz="6" w:space="0" w:color="DEE0E3"/>
              <w:bottom w:val="single" w:sz="6" w:space="0" w:color="DEE0E3"/>
              <w:right w:val="single" w:sz="6" w:space="0" w:color="DEE0E3"/>
            </w:tcBorders>
          </w:tcPr>
          <w:p>
            <w:pPr>
              <w:pStyle w:val="2"/>
              <w:spacing w:before="320" w:after="120"/>
              <w:rPr>
                <w:sz w:val="24"/>
                <w:szCs w:val="24"/>
              </w:rPr>
            </w:pPr>
            <w:r>
              <w:rPr>
                <w:sz w:val="24"/>
                <w:szCs w:val="24"/>
              </w:rPr>
            </w:r>
          </w:p>
        </w:tc>
        <w:tc>
          <w:tcPr>
            <w:tcW w:w="3009" w:type="dxa"/>
            <w:tcBorders>
              <w:top w:val="single" w:sz="6" w:space="0" w:color="DEE0E3"/>
              <w:left w:val="single" w:sz="6" w:space="0" w:color="DEE0E3"/>
              <w:bottom w:val="single" w:sz="6" w:space="0" w:color="DEE0E3"/>
              <w:right w:val="single" w:sz="6" w:space="0" w:color="DEE0E3"/>
            </w:tcBorders>
          </w:tcPr>
          <w:p>
            <w:pPr>
              <w:pStyle w:val="2"/>
              <w:spacing w:before="320" w:after="120"/>
              <w:rPr>
                <w:sz w:val="24"/>
                <w:szCs w:val="24"/>
              </w:rPr>
            </w:pPr>
            <w:r>
              <w:rPr>
                <w:sz w:val="24"/>
                <w:szCs w:val="24"/>
              </w:rPr>
            </w:r>
          </w:p>
        </w:tc>
        <w:tc>
          <w:tcPr>
            <w:tcW w:w="3009" w:type="dxa"/>
            <w:tcBorders>
              <w:top w:val="single" w:sz="6" w:space="0" w:color="DEE0E3"/>
              <w:left w:val="single" w:sz="6" w:space="0" w:color="DEE0E3"/>
              <w:bottom w:val="single" w:sz="6" w:space="0" w:color="DEE0E3"/>
              <w:right w:val="single" w:sz="6" w:space="0" w:color="DEE0E3"/>
            </w:tcBorders>
          </w:tcPr>
          <w:p>
            <w:pPr>
              <w:pStyle w:val="2"/>
              <w:spacing w:before="320" w:after="120"/>
              <w:rPr>
                <w:sz w:val="24"/>
                <w:szCs w:val="24"/>
              </w:rPr>
            </w:pPr>
            <w:r>
              <w:rPr>
                <w:sz w:val="24"/>
                <w:szCs w:val="24"/>
              </w:rPr>
            </w:r>
          </w:p>
        </w:tc>
      </w:tr>
      <w:tr>
        <w:trPr/>
        <w:tc>
          <w:tcPr>
            <w:tcW w:w="3008" w:type="dxa"/>
            <w:tcBorders>
              <w:top w:val="single" w:sz="6" w:space="0" w:color="DEE0E3"/>
              <w:left w:val="single" w:sz="6" w:space="0" w:color="DEE0E3"/>
              <w:bottom w:val="single" w:sz="6" w:space="0" w:color="DEE0E3"/>
              <w:right w:val="single" w:sz="6" w:space="0" w:color="DEE0E3"/>
            </w:tcBorders>
          </w:tcPr>
          <w:p>
            <w:pPr>
              <w:pStyle w:val="2"/>
              <w:spacing w:before="320" w:after="120"/>
              <w:rPr>
                <w:sz w:val="24"/>
                <w:szCs w:val="24"/>
              </w:rPr>
            </w:pPr>
            <w:r>
              <w:rPr>
                <w:sz w:val="24"/>
                <w:szCs w:val="24"/>
              </w:rPr>
            </w:r>
          </w:p>
        </w:tc>
        <w:tc>
          <w:tcPr>
            <w:tcW w:w="3009" w:type="dxa"/>
            <w:tcBorders>
              <w:top w:val="single" w:sz="6" w:space="0" w:color="DEE0E3"/>
              <w:left w:val="single" w:sz="6" w:space="0" w:color="DEE0E3"/>
              <w:bottom w:val="single" w:sz="6" w:space="0" w:color="DEE0E3"/>
              <w:right w:val="single" w:sz="6" w:space="0" w:color="DEE0E3"/>
            </w:tcBorders>
          </w:tcPr>
          <w:p>
            <w:pPr>
              <w:pStyle w:val="2"/>
              <w:spacing w:before="320" w:after="120"/>
              <w:rPr>
                <w:sz w:val="24"/>
                <w:szCs w:val="24"/>
              </w:rPr>
            </w:pPr>
            <w:r>
              <w:rPr>
                <w:sz w:val="24"/>
                <w:szCs w:val="24"/>
              </w:rPr>
            </w:r>
          </w:p>
        </w:tc>
        <w:tc>
          <w:tcPr>
            <w:tcW w:w="3009" w:type="dxa"/>
            <w:tcBorders>
              <w:top w:val="single" w:sz="6" w:space="0" w:color="DEE0E3"/>
              <w:left w:val="single" w:sz="6" w:space="0" w:color="DEE0E3"/>
              <w:bottom w:val="single" w:sz="6" w:space="0" w:color="DEE0E3"/>
              <w:right w:val="single" w:sz="6" w:space="0" w:color="DEE0E3"/>
            </w:tcBorders>
          </w:tcPr>
          <w:p>
            <w:pPr>
              <w:pStyle w:val="2"/>
              <w:spacing w:before="320" w:after="120"/>
              <w:rPr>
                <w:sz w:val="24"/>
                <w:szCs w:val="24"/>
              </w:rPr>
            </w:pPr>
            <w:r>
              <w:rPr>
                <w:sz w:val="24"/>
                <w:szCs w:val="24"/>
              </w:rPr>
            </w:r>
          </w:p>
        </w:tc>
      </w:tr>
      <w:tr>
        <w:trPr/>
        <w:tc>
          <w:tcPr>
            <w:tcW w:w="3008" w:type="dxa"/>
            <w:tcBorders>
              <w:top w:val="single" w:sz="6" w:space="0" w:color="DEE0E3"/>
              <w:left w:val="single" w:sz="6" w:space="0" w:color="DEE0E3"/>
              <w:bottom w:val="single" w:sz="6" w:space="0" w:color="DEE0E3"/>
              <w:right w:val="single" w:sz="6" w:space="0" w:color="DEE0E3"/>
            </w:tcBorders>
          </w:tcPr>
          <w:p>
            <w:pPr>
              <w:pStyle w:val="2"/>
              <w:spacing w:before="320" w:after="120"/>
              <w:rPr>
                <w:sz w:val="24"/>
                <w:szCs w:val="24"/>
              </w:rPr>
            </w:pPr>
            <w:r>
              <w:rPr>
                <w:sz w:val="24"/>
                <w:szCs w:val="24"/>
              </w:rPr>
            </w:r>
          </w:p>
        </w:tc>
        <w:tc>
          <w:tcPr>
            <w:tcW w:w="3009" w:type="dxa"/>
            <w:tcBorders>
              <w:top w:val="single" w:sz="6" w:space="0" w:color="DEE0E3"/>
              <w:left w:val="single" w:sz="6" w:space="0" w:color="DEE0E3"/>
              <w:bottom w:val="single" w:sz="6" w:space="0" w:color="DEE0E3"/>
              <w:right w:val="single" w:sz="6" w:space="0" w:color="DEE0E3"/>
            </w:tcBorders>
          </w:tcPr>
          <w:p>
            <w:pPr>
              <w:pStyle w:val="2"/>
              <w:spacing w:before="320" w:after="120"/>
              <w:rPr>
                <w:sz w:val="24"/>
                <w:szCs w:val="24"/>
              </w:rPr>
            </w:pPr>
            <w:r>
              <w:rPr>
                <w:sz w:val="24"/>
                <w:szCs w:val="24"/>
              </w:rPr>
            </w:r>
          </w:p>
        </w:tc>
        <w:tc>
          <w:tcPr>
            <w:tcW w:w="3009" w:type="dxa"/>
            <w:tcBorders>
              <w:top w:val="single" w:sz="6" w:space="0" w:color="DEE0E3"/>
              <w:left w:val="single" w:sz="6" w:space="0" w:color="DEE0E3"/>
              <w:bottom w:val="single" w:sz="6" w:space="0" w:color="DEE0E3"/>
              <w:right w:val="single" w:sz="6" w:space="0" w:color="DEE0E3"/>
            </w:tcBorders>
          </w:tcPr>
          <w:p>
            <w:pPr>
              <w:pStyle w:val="2"/>
              <w:spacing w:before="320" w:after="120"/>
              <w:rPr>
                <w:sz w:val="24"/>
                <w:szCs w:val="24"/>
              </w:rPr>
            </w:pPr>
            <w:r>
              <w:rPr>
                <w:sz w:val="24"/>
                <w:szCs w:val="24"/>
              </w:rPr>
            </w:r>
          </w:p>
        </w:tc>
      </w:tr>
    </w:tbl>
    <w:p>
      <w:pPr>
        <w:pStyle w:val="Normal"/>
        <w:rPr/>
      </w:pPr>
      <w:r>
        <w:rPr/>
        <w:t>3. Risk</w:t>
        <w:noBreakHyphen/>
        <w:t>Factors Investigation (Part B Risk</w:t>
        <w:noBreakHyphen/>
        <w:t>Factors Investigation)</w:t>
        <w:br/>
      </w:r>
      <w:r>
        <w:rPr/>
        <w:t>Requirement: Classify factors and analyse their relationships with developmental problems instead of simply listing items.</w:t>
      </w:r>
    </w:p>
    <w:p>
      <w:pPr>
        <w:pStyle w:val="Normal"/>
        <w:rPr/>
      </w:pPr>
      <w:r>
        <w:rPr/>
      </w:r>
    </w:p>
    <w:p>
      <w:pPr>
        <w:pStyle w:val="Normal"/>
        <w:rPr/>
      </w:pPr>
      <w:r>
        <w:rPr/>
        <w:t>Risk</w:t>
        <w:noBreakHyphen/>
        <w:t>Factor Category</w:t>
      </w:r>
    </w:p>
    <w:p>
      <w:pPr>
        <w:pStyle w:val="Normal"/>
        <w:rPr/>
      </w:pPr>
      <w:r>
        <w:rPr/>
        <w:t>Specific Risk Factor</w:t>
      </w:r>
    </w:p>
    <w:p>
      <w:pPr>
        <w:pStyle w:val="Normal"/>
        <w:rPr/>
      </w:pPr>
      <w:r>
        <w:rPr/>
        <w:t>Analysis: Association between risk factors and Liam’s ASD</w:t>
        <w:noBreakHyphen/>
        <w:t>related developmental problems</w:t>
      </w:r>
    </w:p>
    <w:p>
      <w:pPr>
        <w:pStyle w:val="Normal"/>
        <w:rPr/>
      </w:pPr>
      <w:r>
        <w:rPr/>
        <w:t>Prenatal factors</w:t>
      </w:r>
    </w:p>
    <w:p>
      <w:pPr>
        <w:pStyle w:val="Normal"/>
        <w:rPr/>
      </w:pPr>
      <w:r>
        <w:rPr/>
        <w:t>Moderate maternal prenatal depression; passive second</w:t>
        <w:noBreakHyphen/>
        <w:t>hand</w:t>
        <w:noBreakHyphen/>
        <w:t>smoke exposure during pregnancy</w:t>
      </w:r>
    </w:p>
    <w:p>
      <w:pPr>
        <w:pStyle w:val="Normal"/>
        <w:rPr/>
      </w:pPr>
      <w:r>
        <w:rPr/>
        <w:t>Maternal prenatal depression and tobacco exposure are prenatal risks related to ASD. Environmental stress during critical prenatal neurodevelopmental windows raises the risk of atypical brain development. Prenatal depression also indirectly impairs postnatal parent</w:t>
        <w:noBreakHyphen/>
        <w:t>child interaction quality.</w:t>
      </w:r>
    </w:p>
    <w:p>
      <w:pPr>
        <w:pStyle w:val="Normal"/>
        <w:rPr/>
      </w:pPr>
      <w:r>
        <w:rPr/>
        <w:t>Perinatal factors</w:t>
      </w:r>
    </w:p>
    <w:p>
      <w:pPr>
        <w:pStyle w:val="Normal"/>
        <w:rPr/>
      </w:pPr>
      <w:r>
        <w:rPr/>
        <w:t>Low birth weight (2450 g)</w:t>
      </w:r>
    </w:p>
    <w:p>
      <w:pPr>
        <w:pStyle w:val="Normal"/>
        <w:rPr/>
      </w:pPr>
      <w:r>
        <w:rPr/>
        <w:t>Low birth weight is a recognised perinatal risk factor. It affects foetal brain development and increases risks of neurodevelopmental disorders including ASD and language delay. Low birth weight alone does not cause disease but acts as an additive risk factor.</w:t>
      </w:r>
    </w:p>
    <w:p>
      <w:pPr>
        <w:pStyle w:val="Normal"/>
        <w:rPr/>
      </w:pPr>
      <w:r>
        <w:rPr/>
        <w:t>Postnatal factors</w:t>
      </w:r>
    </w:p>
    <w:p>
      <w:pPr>
        <w:pStyle w:val="Normal"/>
        <w:rPr/>
      </w:pPr>
      <w:r>
        <w:rPr/>
        <w:t>High passive screen time; lack of high</w:t>
        <w:noBreakHyphen/>
        <w:t>quality two</w:t>
        <w:noBreakHyphen/>
        <w:t>way social stimulation; lack of peer interaction</w:t>
      </w:r>
    </w:p>
    <w:p>
      <w:pPr>
        <w:pStyle w:val="Normal"/>
        <w:rPr/>
      </w:pPr>
      <w:r>
        <w:rPr/>
        <w:t>Excessive early</w:t>
        <w:noBreakHyphen/>
        <w:t>life short</w:t>
        <w:noBreakHyphen/>
        <w:t>video viewing reduces face</w:t>
        <w:noBreakHyphen/>
        <w:t>to</w:t>
        <w:noBreakHyphen/>
        <w:t>face social opportunities. It deprives practice opportunities for joint attention and imitation, amplifies social</w:t>
        <w:noBreakHyphen/>
        <w:t>communicative deficits and reinforces stereotyped behaviours. This counts as an environmental risk factor.</w:t>
      </w:r>
    </w:p>
    <w:p>
      <w:pPr>
        <w:pStyle w:val="Normal"/>
        <w:rPr/>
      </w:pPr>
      <w:r>
        <w:rPr/>
        <w:t>Genetic / Biological factors</w:t>
      </w:r>
    </w:p>
    <w:p>
      <w:pPr>
        <w:pStyle w:val="Normal"/>
        <w:rPr/>
      </w:pPr>
      <w:r>
        <w:rPr/>
        <w:t>No confirmed family history of ASD; however, the father had a history of slow language development in childhood</w:t>
      </w:r>
    </w:p>
    <w:p>
      <w:pPr>
        <w:pStyle w:val="Normal"/>
        <w:rPr/>
      </w:pPr>
      <w:r>
        <w:rPr/>
        <w:t>A family history of language delay suggests potential genetic vulnerability. Polygenic effects interact with environmental risks; no single gene determines disease occurrence.</w:t>
      </w:r>
    </w:p>
    <w:p>
      <w:pPr>
        <w:pStyle w:val="Normal"/>
        <w:rPr/>
      </w:pPr>
      <w:r>
        <w:rPr/>
        <w:t>Developmental factors</w:t>
      </w:r>
    </w:p>
    <w:p>
      <w:pPr>
        <w:pStyle w:val="Normal"/>
        <w:rPr/>
      </w:pPr>
      <w:r>
        <w:rPr/>
        <w:t>Marked delay in language milestones; regression of social interaction skills (played peek</w:t>
        <w:noBreakHyphen/>
        <w:t>a</w:t>
        <w:noBreakHyphen/>
        <w:t>boo at 12 months, followed by reduced social engagement)</w:t>
      </w:r>
    </w:p>
    <w:p>
      <w:pPr>
        <w:pStyle w:val="Normal"/>
        <w:rPr/>
      </w:pPr>
      <w:r>
        <w:rPr/>
        <w:t>Regression of social</w:t>
        <w:noBreakHyphen/>
        <w:t>communicative abilities is a strong warning sign for ASD. The issue is more than “late talking”; combined deficits in non</w:t>
        <w:noBreakHyphen/>
        <w:t>verbal communication (pointing, showing objects) indicate impairment in social</w:t>
        <w:noBreakHyphen/>
        <w:t>communication domains rather than isolated language disorder.</w:t>
      </w:r>
    </w:p>
    <w:p>
      <w:pPr>
        <w:pStyle w:val="Normal"/>
        <w:rPr/>
      </w:pPr>
      <w:r>
        <w:rPr/>
        <w:t>Environmental factors</w:t>
      </w:r>
    </w:p>
    <w:p>
      <w:pPr>
        <w:pStyle w:val="Normal"/>
        <w:rPr/>
      </w:pPr>
      <w:r>
        <w:rPr/>
        <w:t>Grandparental care with limited adult</w:t>
        <w:noBreakHyphen/>
        <w:t>initiated two</w:t>
        <w:noBreakHyphen/>
        <w:t>way interaction; bilingual household environment; limited play materials</w:t>
      </w:r>
    </w:p>
    <w:p>
      <w:pPr>
        <w:pStyle w:val="Normal"/>
        <w:rPr/>
      </w:pPr>
      <w:r>
        <w:rPr/>
        <w:t>Low</w:t>
        <w:noBreakHyphen/>
        <w:t>quality care amplifies pre</w:t>
        <w:noBreakHyphen/>
        <w:t>existing neurodevelopmental vulnerability. Bilingualism itself does not cause ASD, yet linguistic background must be considered in screening and assessment to avoid misjudging developmental levels.</w:t>
      </w:r>
    </w:p>
    <w:p>
      <w:pPr>
        <w:pStyle w:val="Normal"/>
        <w:rPr/>
      </w:pPr>
      <w:r>
        <w:rPr/>
        <w:t>Family / Social factors</w:t>
      </w:r>
    </w:p>
    <w:p>
      <w:pPr>
        <w:pStyle w:val="Normal"/>
        <w:rPr/>
      </w:pPr>
      <w:r>
        <w:rPr/>
        <w:t>Full</w:t>
        <w:noBreakHyphen/>
        <w:t>time working parents resulting in limited high</w:t>
        <w:noBreakHyphen/>
        <w:t>quality parent</w:t>
        <w:noBreakHyphen/>
        <w:t>child interaction; early parental misconceptions labelling symptoms as “boys talk late”, delaying help</w:t>
        <w:noBreakHyphen/>
        <w:t>seeking</w:t>
      </w:r>
    </w:p>
    <w:p>
      <w:pPr>
        <w:pStyle w:val="Normal"/>
        <w:rPr/>
      </w:pPr>
      <w:r>
        <w:rPr/>
        <w:t>Family stress and limited awareness cause delayed identification. Family stress also affects adherence to later interventions; family needs should be considered in intervention planning.</w:t>
      </w:r>
    </w:p>
    <w:p>
      <w:pPr>
        <w:pStyle w:val="Normal"/>
        <w:rPr/>
      </w:pPr>
      <w:r>
        <w:rPr/>
        <w:t>Educational factors</w:t>
      </w:r>
    </w:p>
    <w:p>
      <w:pPr>
        <w:pStyle w:val="Normal"/>
        <w:rPr/>
      </w:pPr>
      <w:r>
        <w:rPr/>
        <w:t>No childcare enrolment; lack of structured early</w:t>
        <w:noBreakHyphen/>
        <w:t>learning and peer</w:t>
        <w:noBreakHyphen/>
        <w:t>socialisation opportunities</w:t>
      </w:r>
    </w:p>
    <w:p>
      <w:pPr>
        <w:pStyle w:val="Normal"/>
        <w:rPr/>
      </w:pPr>
      <w:r>
        <w:rPr/>
        <w:t>Absence of peers makes social deficits harder to detect early and removes contexts for social skill practice.</w:t>
      </w:r>
    </w:p>
    <w:p>
      <w:pPr>
        <w:pStyle w:val="Normal"/>
        <w:rPr/>
      </w:pPr>
      <w:r>
        <w:rPr/>
        <w:t>Comprehensive analysis: Liam presents an overlapping</w:t>
        <w:noBreakHyphen/>
        <w:t>multiple</w:t>
        <w:noBreakHyphen/>
        <w:t>risk pattern. There is no single definitive causal factor. Genetic vulnerability plus prenatal</w:t>
        <w:noBreakHyphen/>
        <w:t>perinatal biological risks, compounded by insufficient post</w:t>
        <w:noBreakHyphen/>
        <w:t>natal environmental stimulation, jointly contribute to social</w:t>
        <w:noBreakHyphen/>
        <w:t>communicative difficulties and stereotyped behaviours. Risk factors only indicate elevated probability and cannot diagnose ASD. Judgements must integrate behavioural observations and standardised assessment outcomes.</w:t>
      </w:r>
    </w:p>
    <w:p>
      <w:pPr>
        <w:pStyle w:val="2"/>
        <w:rPr/>
      </w:pPr>
      <w:r>
        <w:rPr/>
        <w:t>4. Early Indicators / Red Flags (Part C Early indicators / Red Flags)</w:t>
      </w:r>
    </w:p>
    <w:p>
      <w:pPr>
        <w:pStyle w:val="Normal"/>
        <w:rPr/>
      </w:pPr>
      <w:r>
        <w:rPr/>
        <w:t>Multiple developmental domains are covered: cognition, communication</w:t>
        <w:noBreakHyphen/>
        <w:t>language, social</w:t>
        <w:noBreakHyphen/>
        <w:t>emotional functioning, behaviour, gross motor, adaptive daily</w:t>
        <w:noBreakHyphen/>
        <w:t>living skills, sensory processing and pre</w:t>
        <w:noBreakHyphen/>
        <w:t>academic skills. For each warning indicator, the content, clinical significance, developmental stage of appearance, risk level (general developmental concern / risk indicator / red flag), and additional information needed before drawing conclusions are described.</w:t>
      </w:r>
    </w:p>
    <w:p>
      <w:pPr>
        <w:pStyle w:val="3"/>
        <w:rPr/>
      </w:pPr>
      <w:r>
        <w:rPr/>
        <w:t>Indicator 1: No meaningful spoken words at 24 months and absence of non</w:t>
        <w:noBreakHyphen/>
        <w:t>verbal communication (no pointing or showing toys)</w:t>
      </w:r>
    </w:p>
    <w:p>
      <w:pPr>
        <w:pStyle w:val="Normal"/>
        <w:rPr/>
      </w:pPr>
      <w:r>
        <w:rPr/>
        <w:t>Description: No spontaneous meaningful words by 24 months; does not point to objects to make requests; does not lift toys to show others for sharing.</w:t>
      </w:r>
    </w:p>
    <w:p>
      <w:pPr>
        <w:pStyle w:val="Normal"/>
        <w:rPr/>
      </w:pPr>
      <w:r>
        <w:rPr/>
        <w:t>Significance: Core red flag for ASD. Children with isolated language delay usually compensate with gestures, while autistic children show deficits in both language and gestural communication.</w:t>
      </w:r>
    </w:p>
    <w:p>
      <w:pPr>
        <w:pStyle w:val="Normal"/>
        <w:rPr/>
      </w:pPr>
      <w:r>
        <w:rPr/>
        <w:t>Developmental stage: This warning sign is generally observable between 18</w:t>
        <w:noBreakHyphen/>
        <w:t>24 months.</w:t>
      </w:r>
    </w:p>
    <w:p>
      <w:pPr>
        <w:pStyle w:val="Normal"/>
        <w:rPr/>
      </w:pPr>
      <w:r>
        <w:rPr/>
        <w:t xml:space="preserve">Level: </w:t>
      </w:r>
      <w:r>
        <w:rPr>
          <w:b/>
          <w:bCs/>
        </w:rPr>
        <w:t>Red Flag</w:t>
      </w:r>
    </w:p>
    <w:p>
      <w:pPr>
        <w:pStyle w:val="Normal"/>
        <w:rPr/>
      </w:pPr>
      <w:r>
        <w:rPr/>
        <w:t>Additional information required: Confirm intact hearing function; document household linguistic environment (bilingualism, caregiver language); check gesture use in other contexts; rule out specific language impairment.</w:t>
      </w:r>
    </w:p>
    <w:p>
      <w:pPr>
        <w:pStyle w:val="3"/>
        <w:rPr/>
      </w:pPr>
      <w:r>
        <w:rPr/>
        <w:t>Indicator 2: Persistently poor response to name</w:t>
        <w:noBreakHyphen/>
        <w:t>calling and social gaze avoidance</w:t>
      </w:r>
    </w:p>
    <w:p>
      <w:pPr>
        <w:pStyle w:val="Normal"/>
        <w:rPr/>
      </w:pPr>
      <w:r>
        <w:rPr/>
        <w:t>Description: Frequently fails to respond when his name is called in quiet surroundings; rarely sustains eye contact during social exchanges and avoids looking at others’ faces.</w:t>
      </w:r>
    </w:p>
    <w:p>
      <w:pPr>
        <w:pStyle w:val="Normal"/>
        <w:rPr/>
      </w:pPr>
      <w:r>
        <w:rPr/>
        <w:t>Significance: Reflects deficits in joint attention and social engagement; hearing loss needs exclusion.</w:t>
      </w:r>
    </w:p>
    <w:p>
      <w:pPr>
        <w:pStyle w:val="Normal"/>
        <w:rPr/>
      </w:pPr>
      <w:r>
        <w:rPr/>
        <w:t>Developmental stage: May emerge between 12</w:t>
        <w:noBreakHyphen/>
        <w:t>24 months.</w:t>
      </w:r>
    </w:p>
    <w:p>
      <w:pPr>
        <w:pStyle w:val="Normal"/>
        <w:rPr/>
      </w:pPr>
      <w:r>
        <w:rPr/>
        <w:t xml:space="preserve">Level: </w:t>
      </w:r>
      <w:r>
        <w:rPr>
          <w:b/>
          <w:bCs/>
        </w:rPr>
        <w:t>Red Flag</w:t>
      </w:r>
    </w:p>
    <w:p>
      <w:pPr>
        <w:pStyle w:val="Normal"/>
        <w:rPr/>
      </w:pPr>
      <w:r>
        <w:rPr/>
        <w:t>Additional information required: Repeat hearing test; distinguish selective inattention versus hearing impairment; observe responses to preferred sounds such as toy noises.</w:t>
      </w:r>
    </w:p>
    <w:p>
      <w:pPr>
        <w:pStyle w:val="3"/>
        <w:rPr/>
      </w:pPr>
      <w:r>
        <w:rPr/>
        <w:t>Indicator 3: Regression in social interaction: participated in peek</w:t>
        <w:noBreakHyphen/>
        <w:t>a</w:t>
        <w:noBreakHyphen/>
        <w:t>boo at 12 months, then gradually avoided social games</w:t>
      </w:r>
    </w:p>
    <w:p>
      <w:pPr>
        <w:pStyle w:val="Normal"/>
        <w:rPr/>
      </w:pPr>
      <w:r>
        <w:rPr/>
        <w:t>Description: Previously</w:t>
        <w:noBreakHyphen/>
        <w:t>acquired social</w:t>
        <w:noBreakHyphen/>
        <w:t>play abilities regress; no longer joins adult</w:t>
        <w:noBreakHyphen/>
        <w:t>initiated social play.</w:t>
      </w:r>
    </w:p>
    <w:p>
      <w:pPr>
        <w:pStyle w:val="Normal"/>
        <w:rPr/>
      </w:pPr>
      <w:r>
        <w:rPr/>
        <w:t>Significance: Developmental regression is an important ASD warning sign; approximately 20</w:t>
        <w:noBreakHyphen/>
        <w:t>30 % of autistic toddlers show regression in social or language skills.</w:t>
      </w:r>
    </w:p>
    <w:p>
      <w:pPr>
        <w:pStyle w:val="Normal"/>
        <w:rPr/>
      </w:pPr>
      <w:r>
        <w:rPr/>
        <w:t>Developmental stage: Mostly occurs between 12</w:t>
        <w:noBreakHyphen/>
        <w:t>24 months.</w:t>
      </w:r>
    </w:p>
    <w:p>
      <w:pPr>
        <w:pStyle w:val="Normal"/>
        <w:rPr/>
      </w:pPr>
      <w:r>
        <w:rPr/>
        <w:t xml:space="preserve">Level: </w:t>
      </w:r>
      <w:r>
        <w:rPr>
          <w:b/>
          <w:bCs/>
        </w:rPr>
        <w:t>Red Flag</w:t>
      </w:r>
    </w:p>
    <w:p>
      <w:pPr>
        <w:pStyle w:val="Normal"/>
        <w:rPr/>
      </w:pPr>
      <w:r>
        <w:rPr/>
        <w:t>Additional information required: Collect home video records to verify skill changes; rule out regression caused by epilepsy or other neurological disorders.</w:t>
      </w:r>
    </w:p>
    <w:p>
      <w:pPr>
        <w:pStyle w:val="3"/>
        <w:rPr/>
      </w:pPr>
      <w:r>
        <w:rPr/>
        <w:t>Indicator 4: Repetitive stereotyped behaviours: persistent toy</w:t>
        <w:noBreakHyphen/>
        <w:t>lining</w:t>
        <w:noBreakHyphen/>
        <w:t>up, fascination with rotating objects, resistance to routine changes</w:t>
      </w:r>
    </w:p>
    <w:p>
      <w:pPr>
        <w:pStyle w:val="Normal"/>
        <w:rPr/>
      </w:pPr>
      <w:r>
        <w:rPr/>
        <w:t>Description: Repeatedly lines toy cars in rows, spins wheels; intense emotional outbursts triggered by minor changes in daily routines.</w:t>
      </w:r>
    </w:p>
    <w:p>
      <w:pPr>
        <w:pStyle w:val="Normal"/>
        <w:rPr/>
      </w:pPr>
      <w:r>
        <w:rPr/>
        <w:t>Significance: Repetitive restricted behaviours represent one of the two core symptom dimensions of ASD. Brief stereotyped play is normal in typical toddlers; abnormality occurs when behaviours are frequent, displace other play and interfere with daily life.</w:t>
      </w:r>
    </w:p>
    <w:p>
      <w:pPr>
        <w:pStyle w:val="Normal"/>
        <w:rPr/>
      </w:pPr>
      <w:r>
        <w:rPr/>
        <w:t>Developmental stage: Easily observed from 20</w:t>
        <w:noBreakHyphen/>
        <w:t>24 months.</w:t>
      </w:r>
    </w:p>
    <w:p>
      <w:pPr>
        <w:pStyle w:val="Normal"/>
        <w:rPr/>
      </w:pPr>
      <w:r>
        <w:rPr/>
        <w:t>Level: Risk indicator</w:t>
      </w:r>
    </w:p>
    <w:p>
      <w:pPr>
        <w:pStyle w:val="Normal"/>
        <w:rPr/>
      </w:pPr>
      <w:r>
        <w:rPr/>
        <w:t>Additional information required: Frequency of stereotyped behaviours; whether they can be interrupted by external stimuli; whether they interfere with toy exploration and daily routines.</w:t>
      </w:r>
    </w:p>
    <w:p>
      <w:pPr>
        <w:pStyle w:val="3"/>
        <w:rPr/>
      </w:pPr>
      <w:r>
        <w:rPr/>
        <w:t>Indicator 5: Acceptable fine motor skills and age</w:t>
        <w:noBreakHyphen/>
        <w:t>appropriate gross motor skills, yet complete absence of pretend</w:t>
        <w:noBreakHyphen/>
        <w:t>imaginative play</w:t>
      </w:r>
    </w:p>
    <w:p>
      <w:pPr>
        <w:pStyle w:val="Normal"/>
        <w:rPr/>
      </w:pPr>
      <w:r>
        <w:rPr/>
        <w:t>Description: Able to stack blocks but shows no pretend play; does not engage in symbolic play such as simulated cooking or feeding dolls.</w:t>
      </w:r>
    </w:p>
    <w:p>
      <w:pPr>
        <w:pStyle w:val="Normal"/>
        <w:rPr/>
      </w:pPr>
      <w:r>
        <w:rPr/>
        <w:t>Significance: Absence of symbolic play indicates combined cognitive</w:t>
        <w:noBreakHyphen/>
        <w:t>social impairment, distinguishing it from isolated motor delay.</w:t>
      </w:r>
    </w:p>
    <w:p>
      <w:pPr>
        <w:pStyle w:val="Normal"/>
        <w:rPr/>
      </w:pPr>
      <w:r>
        <w:rPr/>
        <w:t>Developmental stage: Typical toddlers develop simple pretend play around 2 years old.</w:t>
      </w:r>
    </w:p>
    <w:p>
      <w:pPr>
        <w:pStyle w:val="Normal"/>
        <w:rPr/>
      </w:pPr>
      <w:r>
        <w:rPr/>
        <w:t>Level: Risk indicator</w:t>
      </w:r>
    </w:p>
    <w:p>
      <w:pPr>
        <w:pStyle w:val="Normal"/>
        <w:rPr/>
      </w:pPr>
      <w:r>
        <w:rPr/>
        <w:t>Additional information required: Check whether caregivers model pretend play; whether pretend</w:t>
        <w:noBreakHyphen/>
        <w:t>play toys are provided.</w:t>
      </w:r>
    </w:p>
    <w:p>
      <w:pPr>
        <w:pStyle w:val="3"/>
        <w:rPr/>
      </w:pPr>
      <w:r>
        <w:rPr/>
        <w:t>Indicator 6: Sensory</w:t>
        <w:noBreakHyphen/>
        <w:t>processing features: over</w:t>
        <w:noBreakHyphen/>
        <w:t>sensitivity to certain sounds / strong attraction to rotating visual stimuli</w:t>
      </w:r>
    </w:p>
    <w:p>
      <w:pPr>
        <w:pStyle w:val="Normal"/>
        <w:rPr/>
      </w:pPr>
      <w:r>
        <w:rPr/>
        <w:t>Description: Strong attraction to rotating objects; irritability in noisy environments.</w:t>
      </w:r>
    </w:p>
    <w:p>
      <w:pPr>
        <w:pStyle w:val="Normal"/>
        <w:rPr/>
      </w:pPr>
      <w:r>
        <w:rPr/>
        <w:t>Significance: A common associated feature of ASD yet non</w:t>
        <w:noBreakHyphen/>
        <w:t>specific; it can also occur in other developmental disorders.</w:t>
      </w:r>
    </w:p>
    <w:p>
      <w:pPr>
        <w:pStyle w:val="Normal"/>
        <w:rPr/>
      </w:pPr>
      <w:r>
        <w:rPr/>
        <w:t>Developmental stage: 18</w:t>
        <w:noBreakHyphen/>
        <w:t>24 months.</w:t>
      </w:r>
    </w:p>
    <w:p>
      <w:pPr>
        <w:pStyle w:val="Normal"/>
        <w:rPr/>
      </w:pPr>
      <w:r>
        <w:rPr/>
        <w:t>Level: Developmental concern</w:t>
      </w:r>
    </w:p>
    <w:p>
      <w:pPr>
        <w:pStyle w:val="Normal"/>
        <w:rPr/>
      </w:pPr>
      <w:r>
        <w:rPr/>
        <w:t>Additional information required: Document sensory reactions across different environments; rule out other conditions such as auditory hypersensitivity.</w:t>
      </w:r>
    </w:p>
    <w:p>
      <w:pPr>
        <w:pStyle w:val="Normal"/>
        <w:rPr/>
      </w:pPr>
      <w:r>
        <w:rPr/>
        <w:t>Summary: Liam shows multiple red</w:t>
        <w:noBreakHyphen/>
        <w:t>flag warning signs indicating high risk. Standardised screening and subsequent referral for comprehensive full assessment are required. Warning signs are not equivalent to diagnosis; conclusions must be supported by standardised tools and multidisciplinary evaluation.</w:t>
      </w:r>
    </w:p>
    <w:p>
      <w:pPr>
        <w:pStyle w:val="2"/>
        <w:rPr/>
      </w:pPr>
      <w:r>
        <w:rPr/>
        <w:t>5. Select Suitable Screening Tools (Part D Select Suitable Screening Tool)</w:t>
      </w:r>
    </w:p>
    <w:p>
      <w:pPr>
        <w:pStyle w:val="Normal"/>
        <w:rPr/>
      </w:pPr>
      <w:r>
        <w:rPr/>
        <w:t>Two screening tools suitable for 24</w:t>
        <w:noBreakHyphen/>
        <w:t>month</w:t>
        <w:noBreakHyphen/>
        <w:t>old toddlers are selected in this case: M</w:t>
        <w:noBreakHyphen/>
        <w:t>CHAT</w:t>
        <w:noBreakHyphen/>
        <w:t>R/F (ASD</w:t>
        <w:noBreakHyphen/>
        <w:t>specific screening) and ASQ</w:t>
        <w:noBreakHyphen/>
        <w:t>3 (Ages and Stages Questionnaires</w:t>
        <w:noBreakHyphen/>
        <w:t>Third Edition, general developmental screening).</w:t>
      </w:r>
    </w:p>
    <w:p>
      <w:pPr>
        <w:pStyle w:val="Normal"/>
        <w:rPr/>
      </w:pPr>
      <w:r>
        <w:rPr/>
        <w:t xml:space="preserve">Key course reminder: </w:t>
      </w:r>
      <w:r>
        <w:rPr>
          <w:b/>
          <w:bCs/>
        </w:rPr>
        <w:t>Screening tool ≠ diagnostic tool</w:t>
      </w:r>
      <w:r>
        <w:rPr/>
        <w:t>. Positive screening results cannot directly establish diagnosis; they only signal the need for further assessment.</w:t>
      </w:r>
    </w:p>
    <w:p>
      <w:pPr>
        <w:pStyle w:val="3"/>
        <w:rPr/>
      </w:pPr>
      <w:r>
        <w:rPr/>
        <w:t>Tool 1: Modified Checklist for Autism in Toddlers</w:t>
        <w:noBreakHyphen/>
        <w:t>Revised with Follow</w:t>
        <w:noBreakHyphen/>
        <w:t>Up (M</w:t>
        <w:noBreakHyphen/>
        <w:t>CHAT</w:t>
        <w:noBreakHyphen/>
        <w:t>R/F)</w:t>
      </w:r>
    </w:p>
    <w:p>
      <w:pPr>
        <w:pStyle w:val="Normal"/>
        <w:rPr/>
      </w:pPr>
      <w:r>
        <w:rPr/>
        <w:t>Author: Diana L. Robins and research team</w:t>
      </w:r>
    </w:p>
    <w:p>
      <w:pPr>
        <w:pStyle w:val="Normal"/>
        <w:rPr/>
      </w:pPr>
      <w:r>
        <w:rPr/>
        <w:t>Target age range: 16</w:t>
        <w:noBreakHyphen/>
        <w:t>30 months (suitable for 24</w:t>
        <w:noBreakHyphen/>
        <w:t>month</w:t>
        <w:noBreakHyphen/>
        <w:t>old Liam), extendable to 48 months</w:t>
      </w:r>
    </w:p>
    <w:p>
      <w:pPr>
        <w:pStyle w:val="Normal"/>
        <w:rPr/>
      </w:pPr>
      <w:r>
        <w:rPr/>
        <w:t>Purpose: First</w:t>
        <w:noBreakHyphen/>
        <w:t>level ASD</w:t>
        <w:noBreakHyphen/>
        <w:t>specific screening tool for toddlers aged 16</w:t>
        <w:noBreakHyphen/>
        <w:t>30 months to identify ASD risk. Two</w:t>
        <w:noBreakHyphen/>
        <w:t>step procedure: caregivers complete the M</w:t>
        <w:noBreakHyphen/>
        <w:t>CHAT</w:t>
        <w:noBreakHyphen/>
        <w:t>R initial screening questionnaire. For positive initial</w:t>
        <w:noBreakHyphen/>
        <w:t>screen results, M</w:t>
        <w:noBreakHyphen/>
        <w:t>CHAT</w:t>
        <w:noBreakHyphen/>
        <w:t>F follow</w:t>
        <w:noBreakHyphen/>
        <w:t>up interviews further confirm risk levels.</w:t>
      </w:r>
    </w:p>
    <w:p>
      <w:pPr>
        <w:pStyle w:val="Normal"/>
        <w:rPr/>
      </w:pPr>
      <w:r>
        <w:rPr/>
        <w:t>Assessed developmental domains: Focuses specifically on core ASD symptoms: social</w:t>
        <w:noBreakHyphen/>
        <w:t>communication, joint attention, pretend play, repetitive</w:t>
        <w:noBreakHyphen/>
        <w:t>stereotyped behaviours.</w:t>
      </w:r>
    </w:p>
    <w:p>
      <w:pPr>
        <w:pStyle w:val="Normal"/>
        <w:rPr/>
      </w:pPr>
      <w:r>
        <w:rPr/>
        <w:t>Administration method: Self</w:t>
        <w:noBreakHyphen/>
        <w:t>completed questionnaire by parents / primary caregivers. High</w:t>
        <w:noBreakHyphen/>
        <w:t>risk cases after initial screening receive direct referral; moderate</w:t>
        <w:noBreakHyphen/>
        <w:t>risk cases complete telephone follow</w:t>
        <w:noBreakHyphen/>
        <w:t>up interviews.</w:t>
      </w:r>
    </w:p>
    <w:p>
      <w:pPr>
        <w:pStyle w:val="Normal"/>
        <w:rPr/>
      </w:pPr>
      <w:r>
        <w:rPr/>
        <w:t>Approximate time: 5</w:t>
        <w:noBreakHyphen/>
        <w:t>10 minutes for initial screening; additional 5</w:t>
        <w:noBreakHyphen/>
        <w:t>10 minutes for follow</w:t>
        <w:noBreakHyphen/>
        <w:t>up interviews.</w:t>
      </w:r>
    </w:p>
    <w:p>
      <w:pPr>
        <w:pStyle w:val="Normal"/>
        <w:rPr/>
      </w:pPr>
      <w:r>
        <w:rPr/>
        <w:t>Who can administer: Paediatricians, early</w:t>
        <w:noBreakHyphen/>
        <w:t>education practitioners, nurses, counsellors and rehabilitation therapists. Advanced professional certification is not required, yet administrators must understand scoring rules and follow</w:t>
        <w:noBreakHyphen/>
        <w:t>up protocols. Initial screening can be finished without direct child observation.</w:t>
      </w:r>
    </w:p>
    <w:p>
      <w:pPr>
        <w:pStyle w:val="Normal"/>
        <w:rPr/>
      </w:pPr>
      <w:r>
        <w:rPr/>
        <w:t>Strengths</w:t>
      </w:r>
    </w:p>
    <w:p>
      <w:pPr>
        <w:pStyle w:val="Normal"/>
        <w:rPr/>
      </w:pPr>
      <w:r>
        <w:rPr/>
        <w:t>Recommended by the AAP as the preferred ASD screening instrument for toddlers. Reliability and validity are supported by abundant domestic and international research; pooled sensitivity = 83 %, specificity = 94 %. Multi</w:t>
        <w:noBreakHyphen/>
        <w:t>language versions including Chinese are available for culturally</w:t>
        <w:noBreakHyphen/>
        <w:t>diverse families.</w:t>
      </w:r>
    </w:p>
    <w:p>
      <w:pPr>
        <w:pStyle w:val="Normal"/>
        <w:rPr/>
      </w:pPr>
      <w:r>
        <w:rPr/>
        <w:t>Simple to administer, suitable for community</w:t>
        <w:noBreakHyphen/>
        <w:t>level well</w:t>
        <w:noBreakHyphen/>
        <w:t>child visits to rapidly identify high</w:t>
        <w:noBreakHyphen/>
        <w:t>risk toddlers.</w:t>
      </w:r>
    </w:p>
    <w:p>
      <w:pPr>
        <w:pStyle w:val="Normal"/>
        <w:rPr/>
      </w:pPr>
      <w:r>
        <w:rPr/>
        <w:t>Two</w:t>
        <w:noBreakHyphen/>
        <w:t>stage design reduces false</w:t>
        <w:noBreakHyphen/>
        <w:t>positive rates and avoids unnecessary referrals.</w:t>
      </w:r>
    </w:p>
    <w:p>
      <w:pPr>
        <w:pStyle w:val="Normal"/>
        <w:rPr/>
      </w:pPr>
      <w:r>
        <w:rPr/>
        <w:t>Limitations</w:t>
      </w:r>
    </w:p>
    <w:p>
      <w:pPr>
        <w:pStyle w:val="Normal"/>
        <w:rPr/>
      </w:pPr>
      <w:r>
        <w:rPr/>
        <w:t>Relies on caregiver reports and can be influenced by parental awareness, culture, language and behavioural interpretation; false</w:t>
        <w:noBreakHyphen/>
        <w:t>negative and false</w:t>
        <w:noBreakHyphen/>
        <w:t>positive results are possible.</w:t>
      </w:r>
    </w:p>
    <w:p>
      <w:pPr>
        <w:pStyle w:val="Normal"/>
        <w:rPr/>
      </w:pPr>
      <w:r>
        <w:rPr/>
        <w:t>Only screens for ASD and cannot detect other developmental conditions such as intellectual disability or isolated language delay.</w:t>
      </w:r>
    </w:p>
    <w:p>
      <w:pPr>
        <w:pStyle w:val="Normal"/>
        <w:rPr/>
      </w:pPr>
      <w:r>
        <w:rPr/>
        <w:t>Follow</w:t>
        <w:noBreakHyphen/>
        <w:t>up procedures require staff time. A high</w:t>
        <w:noBreakHyphen/>
        <w:t>risk score only indicates risk and cannot serve as diagnostic evidence.</w:t>
      </w:r>
    </w:p>
    <w:p>
      <w:pPr>
        <w:pStyle w:val="3"/>
        <w:rPr/>
      </w:pPr>
      <w:r>
        <w:rPr/>
        <w:t>Tool 2: Ages and Stages Questionnaires</w:t>
        <w:noBreakHyphen/>
        <w:t>Third Edition (ASQ</w:t>
        <w:noBreakHyphen/>
        <w:t>3)</w:t>
      </w:r>
    </w:p>
    <w:p>
      <w:pPr>
        <w:pStyle w:val="Normal"/>
        <w:rPr/>
      </w:pPr>
      <w:r>
        <w:rPr/>
        <w:t>Author: Squires &amp; Bricker</w:t>
      </w:r>
    </w:p>
    <w:p>
      <w:pPr>
        <w:pStyle w:val="Normal"/>
        <w:rPr/>
      </w:pPr>
      <w:r>
        <w:rPr/>
        <w:t>Target age range: 1</w:t>
        <w:noBreakHyphen/>
        <w:t>66 months (suitable for 24</w:t>
        <w:noBreakHyphen/>
        <w:t>month</w:t>
        <w:noBreakHyphen/>
        <w:t>old children)</w:t>
      </w:r>
    </w:p>
    <w:p>
      <w:pPr>
        <w:pStyle w:val="Normal"/>
        <w:rPr/>
      </w:pPr>
      <w:r>
        <w:rPr/>
        <w:t>Purpose: Broad</w:t>
        <w:noBreakHyphen/>
        <w:t>spectrum comprehensive developmental</w:t>
        <w:noBreakHyphen/>
        <w:t xml:space="preserve">screening tool detecting delays across five developmental domains. It can indirectly hint at ASD risk but is </w:t>
      </w:r>
      <w:r>
        <w:rPr>
          <w:b/>
          <w:bCs/>
        </w:rPr>
        <w:t>not an ASD</w:t>
        <w:noBreakHyphen/>
        <w:t>specific screening tool</w:t>
      </w:r>
      <w:r>
        <w:rPr/>
        <w:t>.</w:t>
      </w:r>
    </w:p>
    <w:p>
      <w:pPr>
        <w:pStyle w:val="Normal"/>
        <w:rPr/>
      </w:pPr>
      <w:r>
        <w:rPr/>
        <w:t>Assessed developmental domains: Communication, gross motor, fine motor, problem</w:t>
        <w:noBreakHyphen/>
        <w:t>solving, personal</w:t>
        <w:noBreakHyphen/>
        <w:t>social adaptation.</w:t>
      </w:r>
    </w:p>
    <w:p>
      <w:pPr>
        <w:pStyle w:val="Normal"/>
        <w:rPr/>
      </w:pPr>
      <w:r>
        <w:rPr/>
        <w:t>Administration method: Questionnaire completed by primary caregivers.</w:t>
      </w:r>
    </w:p>
    <w:p>
      <w:pPr>
        <w:pStyle w:val="Normal"/>
        <w:rPr/>
      </w:pPr>
      <w:r>
        <w:rPr/>
        <w:t>Approximate time: 10</w:t>
        <w:noBreakHyphen/>
        <w:t>15 minutes.</w:t>
      </w:r>
    </w:p>
    <w:p>
      <w:pPr>
        <w:pStyle w:val="Normal"/>
        <w:rPr/>
      </w:pPr>
      <w:r>
        <w:rPr/>
        <w:t>Who can administer: Paediatric well</w:t>
        <w:noBreakHyphen/>
        <w:t>child staff, early</w:t>
        <w:noBreakHyphen/>
        <w:t>childhood educators, social workers and rehabilitation therapists.</w:t>
      </w:r>
    </w:p>
    <w:p>
      <w:pPr>
        <w:pStyle w:val="Normal"/>
        <w:rPr/>
      </w:pPr>
      <w:r>
        <w:rPr/>
        <w:t>Strengths</w:t>
      </w:r>
    </w:p>
    <w:p>
      <w:pPr>
        <w:pStyle w:val="Normal"/>
        <w:rPr/>
      </w:pPr>
      <w:r>
        <w:rPr/>
        <w:t>Evaluates global development beyond autism; identifies delays in language, motor and social</w:t>
        <w:noBreakHyphen/>
        <w:t>adaptive domains. Suited for routine well</w:t>
        <w:noBreakHyphen/>
        <w:t>child care. Good reliability and validity: sensitivity 75</w:t>
        <w:noBreakHyphen/>
        <w:t>88 %, specificity 81</w:t>
        <w:noBreakHyphen/>
        <w:t>91 %.</w:t>
      </w:r>
    </w:p>
    <w:p>
      <w:pPr>
        <w:pStyle w:val="Normal"/>
        <w:rPr/>
      </w:pPr>
      <w:r>
        <w:rPr/>
        <w:t>Detects non</w:t>
        <w:noBreakHyphen/>
        <w:t>ASD developmental problems and supports large</w:t>
        <w:noBreakHyphen/>
        <w:t>scale screening across diverse settings.</w:t>
      </w:r>
    </w:p>
    <w:p>
      <w:pPr>
        <w:pStyle w:val="Normal"/>
        <w:rPr/>
      </w:pPr>
      <w:r>
        <w:rPr/>
        <w:t>Limitations</w:t>
      </w:r>
    </w:p>
    <w:p>
      <w:pPr>
        <w:pStyle w:val="Normal"/>
        <w:rPr/>
      </w:pPr>
      <w:r>
        <w:rPr/>
        <w:t>Not ASD</w:t>
        <w:noBreakHyphen/>
        <w:t>specific. Some autistic children score adequately in certain ASQ</w:t>
        <w:noBreakHyphen/>
        <w:t>3 domains, leading to false</w:t>
        <w:noBreakHyphen/>
        <w:t>negative outcomes. It cannot rule out ASD risk when used alone.</w:t>
      </w:r>
    </w:p>
    <w:p>
      <w:pPr>
        <w:pStyle w:val="Normal"/>
        <w:rPr/>
      </w:pPr>
      <w:r>
        <w:rPr/>
        <w:t>Outcomes are affected by family culture and language. Original norms are built on English</w:t>
        <w:noBreakHyphen/>
        <w:t>speaking middle</w:t>
        <w:noBreakHyphen/>
        <w:t>class samples; scores need cautious interpretation in cross</w:t>
        <w:noBreakHyphen/>
        <w:t>cultural applications.</w:t>
      </w:r>
    </w:p>
    <w:p>
      <w:pPr>
        <w:pStyle w:val="Normal"/>
        <w:rPr/>
      </w:pPr>
      <w:r>
        <w:rPr/>
        <w:t>Only signals developmental risk and cannot differentiate types of developmental disorders.</w:t>
      </w:r>
    </w:p>
    <w:p>
      <w:pPr>
        <w:pStyle w:val="3"/>
        <w:rPr/>
      </w:pPr>
      <w:r>
        <w:rPr/>
        <w:t>Joint</w:t>
        <w:noBreakHyphen/>
        <w:t>use logic for the two tools in this case</w:t>
      </w:r>
    </w:p>
    <w:p>
      <w:pPr>
        <w:pStyle w:val="Normal"/>
        <w:rPr/>
      </w:pPr>
      <w:r>
        <w:rPr/>
        <w:t>Evidence</w:t>
        <w:noBreakHyphen/>
        <w:t>based practice recommendation: Combine broad</w:t>
        <w:noBreakHyphen/>
        <w:t>spectrum developmental screening (ASQ</w:t>
        <w:noBreakHyphen/>
        <w:t>3) and ASD</w:t>
        <w:noBreakHyphen/>
        <w:t>specific screening (M</w:t>
        <w:noBreakHyphen/>
        <w:t>CHAT</w:t>
        <w:noBreakHyphen/>
        <w:t>R/F).</w:t>
      </w:r>
    </w:p>
    <w:p>
      <w:pPr>
        <w:pStyle w:val="Normal"/>
        <w:rPr/>
      </w:pPr>
      <w:r>
        <w:rPr/>
        <w:t>ASQ</w:t>
        <w:noBreakHyphen/>
        <w:t>3 identifies domains with developmental delay for Liam.</w:t>
      </w:r>
    </w:p>
    <w:p>
      <w:pPr>
        <w:pStyle w:val="Normal"/>
        <w:rPr/>
      </w:pPr>
      <w:r>
        <w:rPr/>
        <w:t>M</w:t>
        <w:noBreakHyphen/>
        <w:t>CHAT</w:t>
        <w:noBreakHyphen/>
        <w:t>R/F specifically assesses autism</w:t>
        <w:noBreakHyphen/>
        <w:t>spectrum risk.</w:t>
      </w:r>
    </w:p>
    <w:p>
      <w:pPr>
        <w:pStyle w:val="Normal"/>
        <w:rPr/>
      </w:pPr>
      <w:r>
        <w:rPr/>
        <w:t>The two tools complement each other; judgements cannot rely on only one instrument.</w:t>
      </w:r>
    </w:p>
    <w:p>
      <w:pPr>
        <w:pStyle w:val="Normal"/>
        <w:rPr/>
      </w:pPr>
      <w:r>
        <w:rPr/>
        <w:t>Hypothetical assessment results for this case:</w:t>
      </w:r>
    </w:p>
    <w:p>
      <w:pPr>
        <w:pStyle w:val="Normal"/>
        <w:rPr/>
      </w:pPr>
      <w:r>
        <w:rPr/>
        <w:t>ASQ</w:t>
        <w:noBreakHyphen/>
        <w:t>3: Significant failure in the communication domain; failure in the personal</w:t>
        <w:noBreakHyphen/>
        <w:t>social domain; monitor range for problem</w:t>
        <w:noBreakHyphen/>
        <w:t>solving; gross</w:t>
        <w:noBreakHyphen/>
        <w:t>motor and fine</w:t>
        <w:noBreakHyphen/>
        <w:t>motor domains pass.</w:t>
      </w:r>
    </w:p>
    <w:p>
      <w:pPr>
        <w:pStyle w:val="Normal"/>
        <w:rPr/>
      </w:pPr>
      <w:r>
        <w:rPr/>
        <w:t>M</w:t>
        <w:noBreakHyphen/>
        <w:t>CHAT</w:t>
        <w:noBreakHyphen/>
        <w:t>R initial</w:t>
        <w:noBreakHyphen/>
        <w:t>screen score ≥ 8 points: classified as high</w:t>
        <w:noBreakHyphen/>
        <w:t>risk. According to clinical guidelines, skip follow</w:t>
        <w:noBreakHyphen/>
        <w:t>up interviews and proceed directly to referral.</w:t>
      </w:r>
    </w:p>
    <w:p>
      <w:pPr>
        <w:pStyle w:val="Normal"/>
        <w:rPr/>
      </w:pPr>
      <w:r>
        <w:rPr/>
        <w:t>Important reminder: Results from both screening questionnaires are only risk indicators, not ASD diagnoses. Next step: screening</w:t>
        <w:noBreakHyphen/>
        <w:t>decision</w:t>
        <w:noBreakHyphen/>
        <w:t>making.</w:t>
      </w:r>
    </w:p>
    <w:p>
      <w:pPr>
        <w:pStyle w:val="2"/>
        <w:rPr/>
      </w:pPr>
      <w:r>
        <w:rPr/>
        <w:t>6. Screening Decision (Part E The Screening Decision)</w:t>
      </w:r>
    </w:p>
    <w:p>
      <w:pPr>
        <w:pStyle w:val="Normal"/>
        <w:rPr/>
      </w:pPr>
      <w:r>
        <w:rPr/>
        <w:t>Options: Monitored / Screened / Rescreened / Referred for comprehensive assessment / Referred for immediate intervention/support.</w:t>
      </w:r>
    </w:p>
    <w:p>
      <w:pPr>
        <w:pStyle w:val="3"/>
        <w:rPr/>
      </w:pPr>
      <w:r>
        <w:rPr/>
        <w:t>Final decision for this case: Referred for comprehensive assessment (multidisciplinary multidisciplinary evaluation) together with Referred for immediate intervention/support.</w:t>
      </w:r>
    </w:p>
    <w:p>
      <w:pPr>
        <w:pStyle w:val="3"/>
        <w:rPr/>
      </w:pPr>
      <w:r>
        <w:rPr/>
        <w:t>Decision</w:t>
        <w:noBreakHyphen/>
        <w:t>making basis (case evidence plus academic literature)</w:t>
      </w:r>
    </w:p>
    <w:p>
      <w:pPr>
        <w:pStyle w:val="Normal"/>
        <w:rPr/>
      </w:pPr>
      <w:r>
        <w:rPr/>
        <w:t>Case evidence: Liam is a 24</w:t>
        <w:noBreakHyphen/>
        <w:t>month</w:t>
        <w:noBreakHyphen/>
        <w:t>old toddler with multiple ASD red</w:t>
        <w:noBreakHyphen/>
        <w:t>flag signs; high</w:t>
        <w:noBreakHyphen/>
        <w:t>risk screening result from M</w:t>
        <w:noBreakHyphen/>
        <w:t>CHAT</w:t>
        <w:noBreakHyphen/>
        <w:t>R/F; positive screening in communication and personal</w:t>
        <w:noBreakHyphen/>
        <w:t>social domains from ASQ</w:t>
        <w:noBreakHyphen/>
        <w:t>3; multiple prenatal</w:t>
        <w:noBreakHyphen/>
        <w:t>perinatal</w:t>
        <w:noBreakHyphen/>
        <w:t>environmental risk factors; social regression, absence of functional language and severe non</w:t>
        <w:noBreakHyphen/>
        <w:t>verbal</w:t>
        <w:noBreakHyphen/>
        <w:t>communication deficits.</w:t>
      </w:r>
    </w:p>
    <w:p>
      <w:pPr>
        <w:pStyle w:val="Normal"/>
        <w:rPr/>
      </w:pPr>
      <w:r>
        <w:rPr/>
        <w:t>Literature evidence: AAP clinical guidelines state that toddlers scoring ≥ 8 (high</w:t>
        <w:noBreakHyphen/>
        <w:t>risk) on M</w:t>
        <w:noBreakHyphen/>
        <w:t>CHAT</w:t>
        <w:noBreakHyphen/>
        <w:t>R initial screening do not need rescreening and shall receive direct referral for full multidisciplinary assessment; watch</w:t>
        <w:noBreakHyphen/>
        <w:t>and</w:t>
        <w:noBreakHyphen/>
        <w:t>wait is not recommended. Even if ASD is not finally diagnosed, clear developmental impairment already exists, so immediate early</w:t>
        <w:noBreakHyphen/>
        <w:t>intervention support is required instead of waiting for rescreening.</w:t>
      </w:r>
    </w:p>
    <w:p>
      <w:pPr>
        <w:pStyle w:val="Normal"/>
        <w:rPr/>
      </w:pPr>
      <w:r>
        <w:rPr/>
        <w:t>Reasons against “monitor</w:t>
        <w:noBreakHyphen/>
        <w:t>only” or “rescreen</w:t>
        <w:noBreakHyphen/>
        <w:t>only”: This toddler presents multiple red</w:t>
        <w:noBreakHyphen/>
        <w:t>flag warnings and high screening risk. Waiting for rescreening would miss the critical 0</w:t>
        <w:noBreakHyphen/>
        <w:t>3</w:t>
        <w:noBreakHyphen/>
        <w:t>year</w:t>
        <w:noBreakHyphen/>
        <w:t>old intervention window; home</w:t>
        <w:noBreakHyphen/>
        <w:t>based observation alone is inappropriate.</w:t>
      </w:r>
    </w:p>
    <w:p>
      <w:pPr>
        <w:pStyle w:val="3"/>
        <w:rPr/>
      </w:pPr>
      <w:r>
        <w:rPr/>
        <w:t>Contents of comprehensive diagnostic assessment (diagnostic assessment ≠ screening)</w:t>
      </w:r>
    </w:p>
    <w:p>
      <w:pPr>
        <w:pStyle w:val="Normal"/>
        <w:rPr/>
      </w:pPr>
      <w:r>
        <w:rPr/>
        <w:t>Multidisciplinary assessment team after referral includes developmental paediatrician, child psychologist and speech</w:t>
        <w:noBreakHyphen/>
        <w:t>language therapist.</w:t>
      </w:r>
    </w:p>
    <w:p>
      <w:pPr>
        <w:pStyle w:val="Normal"/>
        <w:rPr/>
      </w:pPr>
      <w:r>
        <w:rPr/>
        <w:t>Standardised diagnostic instrument: ADOS</w:t>
        <w:noBreakHyphen/>
        <w:t>2 (Autism Diagnostic Observation Schedule</w:t>
        <w:noBreakHyphen/>
        <w:t>Second Edition, gold</w:t>
        <w:noBreakHyphen/>
        <w:t>standard observational diagnostic tool).</w:t>
      </w:r>
    </w:p>
    <w:p>
      <w:pPr>
        <w:pStyle w:val="Normal"/>
        <w:rPr/>
      </w:pPr>
      <w:r>
        <w:rPr/>
        <w:t>Collect full developmental and family history.</w:t>
      </w:r>
    </w:p>
    <w:p>
      <w:pPr>
        <w:pStyle w:val="Normal"/>
        <w:rPr/>
      </w:pPr>
      <w:r>
        <w:rPr/>
        <w:t>Adaptive</w:t>
        <w:noBreakHyphen/>
        <w:t>behaviour assessment: Vineland Adaptive Behaviour Scales.</w:t>
      </w:r>
    </w:p>
    <w:p>
      <w:pPr>
        <w:pStyle w:val="Normal"/>
        <w:rPr/>
      </w:pPr>
      <w:r>
        <w:rPr/>
        <w:t>Cognitive assessment (Wechsler preschool scales are for older children; infant</w:t>
        <w:noBreakHyphen/>
        <w:t>toddler cognitive assessment is applied for this age group).</w:t>
      </w:r>
    </w:p>
    <w:p>
      <w:pPr>
        <w:pStyle w:val="Normal"/>
        <w:rPr/>
      </w:pPr>
      <w:r>
        <w:rPr/>
        <w:t>Repeat hearing test to rule out hearing impairment.</w:t>
      </w:r>
    </w:p>
    <w:p>
      <w:pPr>
        <w:pStyle w:val="Normal"/>
        <w:rPr/>
      </w:pPr>
      <w:r>
        <w:rPr/>
        <w:t>Medical examinations to exclude genetic and metabolic disorders.</w:t>
      </w:r>
    </w:p>
    <w:p>
      <w:pPr>
        <w:pStyle w:val="Normal"/>
        <w:rPr/>
      </w:pPr>
      <w:r>
        <w:rPr/>
        <w:t>Reach diagnosis integrating all information according to DSM</w:t>
        <w:noBreakHyphen/>
        <w:t>5 diagnostic criteria.</w:t>
      </w:r>
    </w:p>
    <w:p>
      <w:pPr>
        <w:pStyle w:val="Normal"/>
        <w:rPr/>
      </w:pPr>
      <w:r>
        <w:rPr/>
        <w:t>Key point: ADOS</w:t>
        <w:noBreakHyphen/>
        <w:t>2 is a diagnostic tool, fundamentally different from screening instruments such as M</w:t>
        <w:noBreakHyphen/>
        <w:t>CHAT</w:t>
        <w:noBreakHyphen/>
        <w:t>R/F. Screening identifies high</w:t>
        <w:noBreakHyphen/>
        <w:t>risk individuals. Diagnostic assessment confirms whether ASD is present and evaluates comorbid conditions and functional levels across domains.</w:t>
      </w:r>
    </w:p>
    <w:p>
      <w:pPr>
        <w:pStyle w:val="2"/>
        <w:rPr/>
      </w:pPr>
      <w:r>
        <w:rPr/>
        <w:t>7. Early Intervention Recommendations (Part F Early Intervention Recommendations)</w:t>
      </w:r>
    </w:p>
    <w:p>
      <w:pPr>
        <w:pStyle w:val="Normal"/>
        <w:rPr/>
      </w:pPr>
      <w:r>
        <w:rPr/>
        <w:t>For Liam (assuming ASD is confirmed in subsequent comprehensive assessment), three evidence</w:t>
        <w:noBreakHyphen/>
        <w:t>based intervention strategies are proposed, covering child needs, family needs, educational</w:t>
        <w:noBreakHyphen/>
        <w:t>caregiving needs, communication, social</w:t>
        <w:noBreakHyphen/>
        <w:t>emotional functioning, adaptive skills and professional collaboration. Recommendations are built on evidence for family</w:t>
        <w:noBreakHyphen/>
        <w:t>centred intervention for children aged 0</w:t>
        <w:noBreakHyphen/>
        <w:t>3 years old.</w:t>
      </w:r>
    </w:p>
    <w:p>
      <w:pPr>
        <w:pStyle w:val="3"/>
        <w:rPr/>
      </w:pPr>
      <w:r>
        <w:rPr/>
        <w:t>Intervention Strategy 1: Parent training of family</w:t>
        <w:noBreakHyphen/>
        <w:t>mediated Early Start Denver Model (ESDM) (Child</w:t>
        <w:noBreakHyphen/>
        <w:t>Family</w:t>
        <w:noBreakHyphen/>
        <w:t>Communication</w:t>
        <w:noBreakHyphen/>
        <w:t>Social</w:t>
        <w:noBreakHyphen/>
        <w:t>Emotional)</w:t>
      </w:r>
    </w:p>
    <w:p>
      <w:pPr>
        <w:pStyle w:val="Normal"/>
        <w:rPr/>
      </w:pPr>
      <w:r>
        <w:rPr/>
        <w:t>Intervention content: Adopt the Early Start Denver Model (ESDM). Provide systematic training for Liam’s primary caregivers (parents and grandparents). Therapists enter natural home play contexts and teach caregivers strategies to foster joint attention, imitation, social turn</w:t>
        <w:noBreakHyphen/>
        <w:t>taking and functional communication during daily play. Play</w:t>
        <w:noBreakHyphen/>
        <w:t>based media are used; intensive table</w:t>
        <w:noBreakHyphen/>
        <w:t>based training is avoided.</w:t>
      </w:r>
    </w:p>
    <w:p>
      <w:pPr>
        <w:pStyle w:val="Normal"/>
        <w:rPr/>
      </w:pPr>
      <w:r>
        <w:rPr/>
        <w:t>Addressed needs: For the child: improve social</w:t>
        <w:noBreakHyphen/>
        <w:t>communication and joint</w:t>
        <w:noBreakHyphen/>
        <w:t>attention skills, reduce stereotyped behaviours. For the family: empower grandparents and parents to embed intervention within daily home routines instead of relying fully on institutional services; compensate for limited caregiver competence. Professional collaboration: joint guidance delivered by speech</w:t>
        <w:noBreakHyphen/>
        <w:t>language therapists and developmental</w:t>
        <w:noBreakHyphen/>
        <w:t>behavioural clinicians.</w:t>
      </w:r>
    </w:p>
    <w:p>
      <w:pPr>
        <w:pStyle w:val="Normal"/>
        <w:rPr/>
      </w:pPr>
      <w:r>
        <w:rPr/>
        <w:t>Evidence</w:t>
        <w:noBreakHyphen/>
        <w:t>based rationale: ESDM is a well</w:t>
        <w:noBreakHyphen/>
        <w:t>supported intervention for ASD aged 0</w:t>
        <w:noBreakHyphen/>
        <w:t>3 years old. Parent</w:t>
        <w:noBreakHyphen/>
        <w:t>mediated models significantly improve toddlers’ social</w:t>
        <w:noBreakHyphen/>
        <w:t>communication outcomes and reduce parenting stress, matching real</w:t>
        <w:noBreakHyphen/>
        <w:t>world home</w:t>
        <w:noBreakHyphen/>
        <w:t>caregiving circumstances.</w:t>
      </w:r>
    </w:p>
    <w:p>
      <w:pPr>
        <w:pStyle w:val="3"/>
        <w:rPr/>
      </w:pPr>
      <w:r>
        <w:rPr/>
        <w:t>Intervention Strategy 2: Functional communication intervention plus sensory support (Communication, Adaptive/functional skills, Educational needs)</w:t>
      </w:r>
    </w:p>
    <w:p>
      <w:pPr>
        <w:pStyle w:val="Normal"/>
        <w:rPr/>
      </w:pPr>
      <w:r>
        <w:rPr/>
        <w:t>Intervention content: Led by speech</w:t>
        <w:noBreakHyphen/>
        <w:t>language therapists. Since Liam has no spoken language at present, priority is given to building non</w:t>
        <w:noBreakHyphen/>
        <w:t>verbal functional communication (gestures, simple picture</w:t>
        <w:noBreakHyphen/>
        <w:t>based augmentative communication), rather than forcing verbal speech. Visual schedules are used within daily routines to reduce emotional meltdowns triggered by routine changes. Leverage his special interest in toy cars as reinforcers within social play to decrease meaningless repetitive stereotyped play.</w:t>
      </w:r>
    </w:p>
    <w:p>
      <w:pPr>
        <w:pStyle w:val="Normal"/>
        <w:rPr/>
      </w:pPr>
      <w:r>
        <w:rPr/>
        <w:t>Addressed needs: For the child: build communication means and reduce frustration</w:t>
        <w:noBreakHyphen/>
        <w:t>driven tantrums; support adaptive daily</w:t>
        <w:noBreakHyphen/>
        <w:t>living skills. For educational</w:t>
        <w:noBreakHyphen/>
        <w:t>caregiving: teach grandparents how to implement communication strategies during mealtimes, dressing and play activities.</w:t>
      </w:r>
    </w:p>
    <w:p>
      <w:pPr>
        <w:pStyle w:val="Normal"/>
        <w:rPr/>
      </w:pPr>
      <w:r>
        <w:rPr/>
        <w:t>Evidence</w:t>
        <w:noBreakHyphen/>
        <w:t>based rationale: For 2</w:t>
        <w:noBreakHyphen/>
        <w:t>year</w:t>
        <w:noBreakHyphen/>
        <w:t>old non</w:t>
        <w:noBreakHyphen/>
        <w:t>verbal autistic toddlers, functional communication should be prioritised instead of targeting spoken speech as the primary goal. Sensory</w:t>
        <w:noBreakHyphen/>
        <w:t>regulation interventions reduce emotional</w:t>
        <w:noBreakHyphen/>
        <w:t>behavioural problems and enhance intervention engagement.</w:t>
      </w:r>
    </w:p>
    <w:p>
      <w:pPr>
        <w:pStyle w:val="3"/>
        <w:rPr/>
      </w:pPr>
      <w:r>
        <w:rPr/>
        <w:t>Intervention Strategy 3: Inter</w:t>
        <w:noBreakHyphen/>
        <w:t>professional ongoing monitoring and periodic reassessment (Progress monitoring, Family</w:t>
        <w:noBreakHyphen/>
        <w:t>professional collaboration)</w:t>
      </w:r>
    </w:p>
    <w:p>
      <w:pPr>
        <w:pStyle w:val="Normal"/>
        <w:rPr/>
      </w:pPr>
      <w:r>
        <w:rPr/>
        <w:t>Intervention content: Establish fixed follow</w:t>
        <w:noBreakHyphen/>
        <w:t>up schedules: progress monitoring every 3 months; full reassessment every 6 months. Continuously use screening and developmental measures to track developmental changes. Link to community early</w:t>
        <w:noBreakHyphen/>
        <w:t>intervention resources; provide psychological support addressing parental anxiety. Prepare for future childcare enrolment and promote home</w:t>
        <w:noBreakHyphen/>
        <w:t>professional collaboration.</w:t>
      </w:r>
    </w:p>
    <w:p>
      <w:pPr>
        <w:pStyle w:val="Normal"/>
        <w:rPr/>
      </w:pPr>
      <w:r>
        <w:rPr/>
        <w:t>Addressed needs: For the family: sustained professional support and reduced family stress. Educational needs: prepare for childcare transition. Professional collaboration: regular case conferences among paediatrics, early</w:t>
        <w:noBreakHyphen/>
        <w:t>childhood educators and speech</w:t>
        <w:noBreakHyphen/>
        <w:t>language therapists to review progress. For the child: dynamically adjust intervention goals and update plans according to developmental shifts.</w:t>
      </w:r>
    </w:p>
    <w:p>
      <w:pPr>
        <w:pStyle w:val="Normal"/>
        <w:rPr/>
      </w:pPr>
      <w:r>
        <w:rPr/>
        <w:t>Evidence</w:t>
        <w:noBreakHyphen/>
        <w:t>based rationale: Developmental abilities change rapidly in 2</w:t>
        <w:noBreakHyphen/>
        <w:t>year</w:t>
        <w:noBreakHyphen/>
        <w:t>old toddlers. Early</w:t>
        <w:noBreakHyphen/>
        <w:t>identification frameworks stress continuous review and adaptation. Diagnosis is not a one</w:t>
        <w:noBreakHyphen/>
        <w:t>time event; development and symptoms require periodic re</w:t>
        <w:noBreakHyphen/>
        <w:t>evaluation. Even with intervention gains, long</w:t>
        <w:noBreakHyphen/>
        <w:t>term follow</w:t>
        <w:noBreakHyphen/>
        <w:t>up remains necessary because symptom presentations may shift with age.</w:t>
      </w:r>
    </w:p>
    <w:p>
      <w:pPr>
        <w:pStyle w:val="2"/>
        <w:rPr/>
      </w:pPr>
      <w:r>
        <w:rPr/>
        <w:t>8. Discussion</w:t>
      </w:r>
    </w:p>
    <w:p>
      <w:pPr>
        <w:pStyle w:val="3"/>
        <w:rPr/>
      </w:pPr>
      <w:r>
        <w:rPr/>
        <w:t>8.1 Critical distinction between screening and diagnosis</w:t>
      </w:r>
    </w:p>
    <w:p>
      <w:pPr>
        <w:pStyle w:val="Normal"/>
        <w:rPr/>
      </w:pPr>
      <w:r>
        <w:rPr/>
        <w:t>This case strictly applies core course knowledge: screening</w:t>
        <w:noBreakHyphen/>
        <w:t>tool scores, whether high or low, cannot establish a diagnosis by themselves. M</w:t>
        <w:noBreakHyphen/>
        <w:t>CHAT</w:t>
        <w:noBreakHyphen/>
        <w:t>R/F and ASQ</w:t>
        <w:noBreakHyphen/>
        <w:t>3 are screening instruments designed to identify high</w:t>
        <w:noBreakHyphen/>
        <w:t>risk toddlers needing further assessment. ASD diagnosis can only be given by a multidisciplinary team integrating diagnostic tools (ADOS</w:t>
        <w:noBreakHyphen/>
        <w:t>2), full developmental history, multi</w:t>
        <w:noBreakHyphen/>
        <w:t>setting behavioural observations and exclusion of other medical conditions. Common clinical pitfalls include caregivers or front</w:t>
        <w:noBreakHyphen/>
        <w:t>line practitioners diagnosing autism solely from positive questionnaire results (over</w:t>
        <w:noBreakHyphen/>
        <w:t>diagnosis) or ruling out autism based on negative questionnaire results (missed cases).</w:t>
      </w:r>
    </w:p>
    <w:p>
      <w:pPr>
        <w:pStyle w:val="3"/>
        <w:rPr/>
      </w:pPr>
      <w:r>
        <w:rPr/>
        <w:t>8.2 Relationships between risk factors and symptoms</w:t>
      </w:r>
    </w:p>
    <w:p>
      <w:pPr>
        <w:pStyle w:val="Normal"/>
        <w:rPr/>
      </w:pPr>
      <w:r>
        <w:rPr/>
        <w:t>The Liam case illustrates that ASD arises from interactions of multiple factors without a single “causal agent”. Biological risks create vulnerability, while post</w:t>
        <w:noBreakHyphen/>
        <w:t>natal environments can amplify or buffer developmental outcomes. Risk factors only increase probability. The presence of risk factors does not guarantee ASD diagnosis. Conversely, ASD can occur without obvious risk factors. Therefore universal routine developmental monitoring and ASD</w:t>
        <w:noBreakHyphen/>
        <w:t>specific screening for all toddlers are required; screening decisions should not depend only on risk</w:t>
        <w:noBreakHyphen/>
        <w:t>factor profiles.</w:t>
      </w:r>
    </w:p>
    <w:p>
      <w:pPr>
        <w:pStyle w:val="3"/>
        <w:rPr/>
      </w:pPr>
      <w:r>
        <w:rPr/>
        <w:t>8.3 Cultural and linguistic considerations</w:t>
      </w:r>
    </w:p>
    <w:p>
      <w:pPr>
        <w:pStyle w:val="Normal"/>
        <w:rPr/>
      </w:pPr>
      <w:r>
        <w:rPr/>
        <w:t>Liam’s bilingual household reminds assessors to take cultural and linguistic backgrounds into account when applying standardised measures. Direct application of foreign scales to culturally</w:t>
        <w:noBreakHyphen/>
        <w:t>diverse households may produce biased outcomes. Judgements must combine real</w:t>
        <w:noBreakHyphen/>
        <w:t>life home behavioural observations instead of mechanically interpreting questionnaire scores.</w:t>
      </w:r>
    </w:p>
    <w:p>
      <w:pPr>
        <w:pStyle w:val="3"/>
        <w:rPr/>
      </w:pPr>
      <w:r>
        <w:rPr/>
        <w:t>8.4 Practical challenges in early identification of ASD</w:t>
      </w:r>
    </w:p>
    <w:p>
      <w:pPr>
        <w:pStyle w:val="Normal"/>
        <w:rPr/>
      </w:pPr>
      <w:r>
        <w:rPr/>
        <w:t>Identifying ASD between 0</w:t>
        <w:noBreakHyphen/>
        <w:t>24 months brings difficulties: some early</w:t>
        <w:noBreakHyphen/>
        <w:t>life symptoms are subtle; parents tend to attribute developmental difficulties to “boys talk late”. Front</w:t>
        <w:noBreakHyphen/>
        <w:t>line settings often lack clinicians qualified to complete ADOS</w:t>
        <w:noBreakHyphen/>
        <w:t>2 diagnostic assessments, leading to long waiting times for referrals. Under such circumstances, early</w:t>
        <w:noBreakHyphen/>
        <w:t>intervention support can be initiated once clear developmental impairment is observed, even before formal diagnosis is finalised. This explains why this case combines referral for assessment and immediate intervention.</w:t>
      </w:r>
    </w:p>
    <w:p>
      <w:pPr>
        <w:pStyle w:val="2"/>
        <w:rPr/>
      </w:pPr>
      <w:r>
        <w:rPr/>
        <w:t>9. Reflection</w:t>
      </w:r>
    </w:p>
    <w:p>
      <w:pPr>
        <w:pStyle w:val="Normal"/>
        <w:rPr/>
      </w:pPr>
      <w:r>
        <w:rPr/>
        <w:t>Early identification is more than a simple questionnaire procedure; it forms a complete system including monitoring, screening, assessment, referral, intervention and continuous follow</w:t>
        <w:noBreakHyphen/>
        <w:t>up. Practitioners should keep the following points in mind. First, firmly distinguish screening tools from diagnostic tools. Second, analyse causal links between risks and developmental outcomes instead of merely listing risk</w:t>
        <w:noBreakHyphen/>
        <w:t>factor inventories. Third, during assessment, consider not only the child but also family circumstances and cultural</w:t>
        <w:noBreakHyphen/>
        <w:t>linguistic backgrounds. Fourth, place family needs at the centre of intervention; intervention plans must address real</w:t>
        <w:noBreakHyphen/>
        <w:t>world family pressure beyond child</w:t>
        <w:noBreakHyphen/>
        <w:t>centred goals alone. Fifth, understand that early</w:t>
        <w:noBreakHyphen/>
        <w:t>identification workflows are cyclical rather than one</w:t>
        <w:noBreakHyphen/>
        <w:t>off events, requiring long</w:t>
        <w:noBreakHyphen/>
        <w:t>term monitoring, rescreening and plan adjustment.</w:t>
      </w:r>
    </w:p>
    <w:p>
      <w:pPr>
        <w:pStyle w:val="2"/>
        <w:rPr/>
      </w:pPr>
      <w:r>
        <w:rPr/>
        <w:t>References</w:t>
      </w:r>
    </w:p>
    <w:p>
      <w:pPr>
        <w:pStyle w:val="Normal"/>
        <w:rPr/>
      </w:pPr>
      <w:r>
        <w:rPr/>
        <w:t>[1] Robins D L, Casagrande K, Barton M, et al. Validation of the Modified Checklist for Autism in Toddlers, Revised with Follow</w:t>
        <w:noBreakHyphen/>
        <w:t>Up (M</w:t>
        <w:noBreakHyphen/>
        <w:t>CHAT</w:t>
        <w:noBreakHyphen/>
        <w:t xml:space="preserve">R/F). </w:t>
      </w:r>
      <w:r>
        <w:rPr>
          <w:i/>
          <w:iCs/>
        </w:rPr>
        <w:t>Pediatrics</w:t>
      </w:r>
      <w:r>
        <w:rPr/>
        <w:t>, 2014, 133(3):e548</w:t>
        <w:noBreakHyphen/>
        <w:t>e558.</w:t>
      </w:r>
    </w:p>
    <w:p>
      <w:pPr>
        <w:pStyle w:val="Normal"/>
        <w:rPr/>
      </w:pPr>
      <w:r>
        <w:rPr/>
        <w:t xml:space="preserve">[2] Hyman S L, Levy S E, Myers S M. Identification, Evaluation, and Management of Children With Autism Spectrum Disorder. </w:t>
      </w:r>
      <w:r>
        <w:rPr>
          <w:i/>
          <w:iCs/>
        </w:rPr>
        <w:t>Pediatrics</w:t>
      </w:r>
      <w:r>
        <w:rPr/>
        <w:t>, 2020,145(1): e20193447. (AAP clinical practice guideline)</w:t>
      </w:r>
    </w:p>
    <w:p>
      <w:pPr>
        <w:pStyle w:val="Normal"/>
        <w:rPr/>
      </w:pPr>
      <w:r>
        <w:rPr/>
        <w:t>[3] Al</w:t>
        <w:noBreakHyphen/>
        <w:t>Qabandi M, Al</w:t>
        <w:noBreakHyphen/>
        <w:t xml:space="preserve">Dabbagh A. Measurement Issues: Screening and diagnostic instruments for autism spectrum disorders – lessons from research and practice. </w:t>
      </w:r>
      <w:r>
        <w:rPr>
          <w:i/>
          <w:iCs/>
        </w:rPr>
        <w:t>Child and Adolescent Psychiatry and Mental Health</w:t>
      </w:r>
      <w:r>
        <w:rPr/>
        <w:t>, 2013,7:33.</w:t>
      </w:r>
    </w:p>
    <w:p>
      <w:pPr>
        <w:pStyle w:val="Normal"/>
        <w:rPr/>
      </w:pPr>
      <w:r>
        <w:rPr/>
        <w:t>[4] Zhou B, Xu Q, Li H, et al. Screening for Autism Spectrum Disorder in Toddlers During the 18</w:t>
        <w:noBreakHyphen/>
        <w:t xml:space="preserve"> and 24</w:t>
        <w:noBreakHyphen/>
        <w:t>Month Well</w:t>
        <w:noBreakHyphen/>
        <w:t xml:space="preserve">Child Visits. </w:t>
      </w:r>
      <w:r>
        <w:rPr>
          <w:i/>
          <w:iCs/>
        </w:rPr>
        <w:t>Frontiers in Pediatrics</w:t>
      </w:r>
      <w:r>
        <w:rPr/>
        <w:t>, 2022, 10:889762.</w:t>
      </w:r>
    </w:p>
    <w:p>
      <w:pPr>
        <w:pStyle w:val="Normal"/>
        <w:rPr/>
      </w:pPr>
      <w:r>
        <w:rPr/>
        <w:t>[5] Developmental</w:t>
        <w:noBreakHyphen/>
        <w:t>Behavioural Paediatrics Group, Chinese Society of Paediatrics. Expert consensus on early identification and family</w:t>
        <w:noBreakHyphen/>
        <w:t xml:space="preserve">based intervention for infants and toddlers with autism. </w:t>
      </w:r>
      <w:r>
        <w:rPr>
          <w:i/>
          <w:iCs/>
        </w:rPr>
        <w:t>Chinese Journal of Pediatrics</w:t>
      </w:r>
      <w:r>
        <w:rPr/>
        <w:t>, 2021,59(10):825</w:t>
        <w:noBreakHyphen/>
        <w:t>832.</w:t>
      </w:r>
    </w:p>
    <w:p>
      <w:pPr>
        <w:pStyle w:val="Normal"/>
        <w:rPr/>
      </w:pPr>
      <w:r>
        <w:rPr/>
        <w:t xml:space="preserve">[6] Squires J, Bricker D. </w:t>
      </w:r>
      <w:r>
        <w:rPr>
          <w:i/>
          <w:iCs/>
        </w:rPr>
        <w:t>Ages &amp; Stages Questionnaires (ASQ</w:t>
        <w:noBreakHyphen/>
        <w:t>3): A Parent</w:t>
        <w:noBreakHyphen/>
        <w:t>Completed Child</w:t>
        <w:noBreakHyphen/>
        <w:t>Monitoring System</w:t>
      </w:r>
      <w:r>
        <w:rPr/>
        <w:t>. Paul H. Brookes, 2009.</w:t>
      </w:r>
    </w:p>
    <w:p>
      <w:pPr>
        <w:pStyle w:val="Normal"/>
        <w:rPr/>
      </w:pPr>
      <w:r>
        <w:rPr/>
        <w:t xml:space="preserve">[7] Gao D, Li Y. Effect of parental training based on Early Start Denver Model combined with intensive training on children with autism spectrum disorder and its impact on parenting stress. </w:t>
      </w:r>
      <w:r>
        <w:rPr>
          <w:i/>
          <w:iCs/>
        </w:rPr>
        <w:t>Journal of Psychiatric Research</w:t>
      </w:r>
      <w:r>
        <w:rPr/>
        <w:t>, 2020,129:146</w:t>
        <w:noBreakHyphen/>
        <w:t>151.</w:t>
      </w:r>
    </w:p>
    <w:p>
      <w:pPr>
        <w:pStyle w:val="Normal"/>
        <w:rPr/>
      </w:pPr>
      <w:r>
        <w:rPr/>
        <w:t>[8] Bölte S, Mahdi A, Caglar S, et al. Prenatal risk factors for autism spectrum disorder</w:t>
        <w:noBreakHyphen/>
        <w:t xml:space="preserve">an umbrella review. </w:t>
      </w:r>
      <w:r>
        <w:rPr>
          <w:i/>
          <w:iCs/>
        </w:rPr>
        <w:t>Molecular Psychiatry</w:t>
      </w:r>
      <w:r>
        <w:rPr/>
        <w:t>, 2019,24(12):1786</w:t>
        <w:noBreakHyphen/>
        <w:t>1801.</w:t>
      </w:r>
    </w:p>
    <w:p>
      <w:pPr>
        <w:pStyle w:val="Normal"/>
        <w:rPr/>
      </w:pPr>
      <w:r>
        <w:rPr/>
        <w:t>Notes on translation: This version preserves the original paper structure: abstract, keywords, numbered main chapters, sub</w:t>
        <w:noBreakHyphen/>
        <w:t>headings, markdown table, bullet</w:t>
        <w:noBreakHyphen/>
        <w:t>style case information, hierarchical sub</w:t>
        <w:noBreakHyphen/>
        <w:t>sections and reference list. Sentences are written in plain academic English suitable for course assignments. All professional terminology keeps internationally</w:t>
        <w:noBreakHyphen/>
        <w:t>standard ASD</w:t>
        <w:noBreakHyphen/>
        <w:t>related expressions. Chinese</w:t>
        <w:noBreakHyphen/>
        <w:t>origin reference entries are translated into English</w:t>
        <w:noBreakHyphen/>
        <w:t>language bibliographic format.</w:t>
      </w:r>
    </w:p>
    <w:p>
      <w:pPr>
        <w:pStyle w:val="Normal"/>
        <w:rPr/>
      </w:pPr>
      <w:r>
        <w:rPr/>
      </w:r>
    </w:p>
    <w:sectPr>
      <w:type w:val="nextPage"/>
      <w:pgSz w:w="11906" w:h="16838"/>
      <w:pgMar w:left="1440" w:right="1440" w:gutter="0" w:header="0" w:top="1440" w:footer="0" w:bottom="1440"/>
      <w:pgNumType w:fmt="decimal"/>
      <w:formProt w:val="false"/>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Noto Sans Mono CJK SC">
    <w:charset w:val="01"/>
    <w:family w:val="roman"/>
    <w:pitch w:val="variable"/>
  </w:font>
  <w:font w:name="Times New Roman">
    <w:charset w:val="01"/>
    <w:family w:val="roman"/>
    <w:pitch w:val="variable"/>
  </w:font>
  <w:font w:name="Arial">
    <w:charset w:val="01"/>
    <w:family w:val="swiss"/>
    <w:pitch w:val="variable"/>
  </w:font>
  <w:font w:name="Noto Sans Mono CJK SC">
    <w:charset w:val="01"/>
    <w:family w:val="swiss"/>
    <w:pitch w:val="variable"/>
  </w:font>
</w:fonts>
</file>

<file path=word/settings.xml><?xml version="1.0" encoding="utf-8"?>
<w:settings xmlns:w="http://schemas.openxmlformats.org/wordprocessingml/2006/main">
  <w:zoom w:percent="100"/>
  <w:defaultTabStop w:val="720"/>
  <w:autoHyphenation w:val="true"/>
  <w:compat>
    <w:doNotExpandShiftReturn/>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Noto Sans Mono CJK SC" w:cs="Noto Sans Mono CJK SC"/>
        <w:lang w:val="en-US" w:eastAsia="zh-CN" w:bidi="hi-IN"/>
      </w:rPr>
    </w:rPrDefault>
    <w:pPrDefault>
      <w:pPr>
        <w:suppressAutoHyphens w:val="true"/>
      </w:pPr>
    </w:pPrDefault>
  </w:docDefaults>
  <w:style w:type="paragraph" w:styleId="Normal">
    <w:name w:val="Normal"/>
    <w:qFormat/>
    <w:pPr>
      <w:widowControl/>
      <w:bidi w:val="0"/>
      <w:spacing w:before="0" w:after="0"/>
      <w:jc w:val="left"/>
    </w:pPr>
    <w:rPr>
      <w:rFonts w:ascii="Times New Roman" w:hAnsi="Times New Roman" w:eastAsia="Noto Sans Mono CJK SC" w:cs="Noto Sans Mono CJK SC"/>
      <w:color w:val="auto"/>
      <w:kern w:val="0"/>
      <w:sz w:val="20"/>
      <w:szCs w:val="20"/>
      <w:lang w:val="en-US" w:eastAsia="zh-CN" w:bidi="hi-IN"/>
    </w:rPr>
  </w:style>
  <w:style w:type="paragraph" w:styleId="1">
    <w:name w:val="Heading 1"/>
    <w:basedOn w:val="Style9"/>
    <w:qFormat/>
    <w:pPr>
      <w:spacing w:lineRule="auto" w:line="288" w:before="380" w:after="140"/>
      <w:ind w:left="0" w:hanging="0"/>
      <w:jc w:val="left"/>
      <w:outlineLvl w:val="0"/>
    </w:pPr>
    <w:rPr>
      <w:rFonts w:ascii="Arial" w:hAnsi="Arial" w:eastAsia="等线" w:cs="Arial"/>
      <w:b/>
      <w:bCs/>
      <w:sz w:val="36"/>
      <w:szCs w:val="36"/>
    </w:rPr>
  </w:style>
  <w:style w:type="paragraph" w:styleId="2">
    <w:name w:val="Heading 2"/>
    <w:basedOn w:val="Style9"/>
    <w:qFormat/>
    <w:pPr>
      <w:spacing w:lineRule="auto" w:line="288" w:before="320" w:after="120"/>
      <w:ind w:left="0" w:hanging="0"/>
      <w:jc w:val="left"/>
      <w:outlineLvl w:val="1"/>
    </w:pPr>
    <w:rPr>
      <w:rFonts w:ascii="Arial" w:hAnsi="Arial" w:eastAsia="等线" w:cs="Arial"/>
      <w:b/>
      <w:bCs/>
      <w:sz w:val="32"/>
      <w:szCs w:val="32"/>
    </w:rPr>
  </w:style>
  <w:style w:type="paragraph" w:styleId="3">
    <w:name w:val="Heading 3"/>
    <w:basedOn w:val="Style9"/>
    <w:qFormat/>
    <w:pPr>
      <w:spacing w:lineRule="auto" w:line="288" w:before="300" w:after="120"/>
      <w:ind w:left="0" w:hanging="0"/>
      <w:jc w:val="left"/>
      <w:outlineLvl w:val="2"/>
    </w:pPr>
    <w:rPr>
      <w:rFonts w:ascii="Arial" w:hAnsi="Arial" w:eastAsia="等线" w:cs="Arial"/>
      <w:b/>
      <w:bCs/>
      <w:sz w:val="30"/>
      <w:szCs w:val="30"/>
    </w:rPr>
  </w:style>
  <w:style w:type="paragraph" w:styleId="4">
    <w:name w:val="Heading 4"/>
    <w:basedOn w:val="Style9"/>
    <w:qFormat/>
    <w:pPr>
      <w:spacing w:lineRule="auto" w:line="288" w:before="260" w:after="120"/>
      <w:ind w:left="0" w:hanging="0"/>
      <w:jc w:val="left"/>
      <w:outlineLvl w:val="3"/>
    </w:pPr>
    <w:rPr>
      <w:rFonts w:ascii="Arial" w:hAnsi="Arial" w:eastAsia="等线" w:cs="Arial"/>
      <w:b/>
      <w:bCs/>
      <w:sz w:val="28"/>
      <w:szCs w:val="28"/>
    </w:rPr>
  </w:style>
  <w:style w:type="paragraph" w:styleId="5">
    <w:name w:val="Heading 5"/>
    <w:basedOn w:val="Style9"/>
    <w:qFormat/>
    <w:pPr>
      <w:spacing w:lineRule="auto" w:line="288" w:before="240" w:after="120"/>
      <w:ind w:left="0" w:hanging="0"/>
      <w:jc w:val="left"/>
      <w:outlineLvl w:val="4"/>
    </w:pPr>
    <w:rPr>
      <w:rFonts w:ascii="Arial" w:hAnsi="Arial" w:eastAsia="等线" w:cs="Arial"/>
      <w:b/>
      <w:bCs/>
      <w:sz w:val="24"/>
      <w:szCs w:val="24"/>
    </w:rPr>
  </w:style>
  <w:style w:type="paragraph" w:styleId="6">
    <w:name w:val="Heading 6"/>
    <w:basedOn w:val="Style9"/>
    <w:qFormat/>
    <w:pPr>
      <w:spacing w:lineRule="auto" w:line="288" w:before="240" w:after="120"/>
      <w:ind w:left="0" w:hanging="0"/>
      <w:jc w:val="left"/>
      <w:outlineLvl w:val="5"/>
    </w:pPr>
    <w:rPr>
      <w:rFonts w:ascii="Arial" w:hAnsi="Arial" w:eastAsia="等线" w:cs="Arial"/>
      <w:b/>
      <w:bCs/>
      <w:sz w:val="24"/>
      <w:szCs w:val="24"/>
    </w:rPr>
  </w:style>
  <w:style w:type="character" w:styleId="Internet">
    <w:name w:val="Internet 链接"/>
    <w:uiPriority w:val="99"/>
    <w:unhideWhenUsed/>
    <w:rPr>
      <w:color w:val="0563C1"/>
      <w:u w:val="single"/>
    </w:rPr>
  </w:style>
  <w:style w:type="character" w:styleId="Style8">
    <w:name w:val="脚注锚点"/>
    <w:rPr>
      <w:vertAlign w:val="superscript"/>
    </w:rPr>
  </w:style>
  <w:style w:type="character" w:styleId="FootnoteCharacters">
    <w:name w:val="Footnote Characters"/>
    <w:uiPriority w:val="99"/>
    <w:semiHidden/>
    <w:unhideWhenUsed/>
    <w:qFormat/>
    <w:rPr>
      <w:vertAlign w:val="superscript"/>
    </w:rPr>
  </w:style>
  <w:style w:type="character" w:styleId="FootnoteTextChar">
    <w:name w:val="Footnote Text Char"/>
    <w:uiPriority w:val="99"/>
    <w:semiHidden/>
    <w:unhideWhenUsed/>
    <w:qFormat/>
    <w:rPr>
      <w:sz w:val="20"/>
      <w:szCs w:val="20"/>
    </w:rPr>
  </w:style>
  <w:style w:type="paragraph" w:styleId="Style9">
    <w:name w:val="标题样式"/>
    <w:basedOn w:val="Normal"/>
    <w:next w:val="Style10"/>
    <w:qFormat/>
    <w:pPr>
      <w:keepNext w:val="true"/>
      <w:spacing w:before="240" w:after="120"/>
    </w:pPr>
    <w:rPr>
      <w:rFonts w:ascii="Noto Sans Mono CJK SC" w:hAnsi="Noto Sans Mono CJK SC" w:eastAsia="Noto Sans Mono CJK SC" w:cs="Noto Sans Mono CJK SC"/>
      <w:sz w:val="28"/>
      <w:szCs w:val="28"/>
    </w:rPr>
  </w:style>
  <w:style w:type="paragraph" w:styleId="Style10">
    <w:name w:val="Body Text"/>
    <w:basedOn w:val="Normal"/>
    <w:pPr>
      <w:spacing w:lineRule="auto" w:line="276" w:before="0" w:after="140"/>
    </w:pPr>
    <w:rPr/>
  </w:style>
  <w:style w:type="paragraph" w:styleId="Style11">
    <w:name w:val="List"/>
    <w:basedOn w:val="Style10"/>
    <w:pPr/>
    <w:rPr/>
  </w:style>
  <w:style w:type="paragraph" w:styleId="Style12">
    <w:name w:val="Caption"/>
    <w:basedOn w:val="Normal"/>
    <w:qFormat/>
    <w:pPr>
      <w:suppressLineNumbers/>
      <w:spacing w:before="120" w:after="120"/>
    </w:pPr>
    <w:rPr>
      <w:i/>
      <w:iCs/>
      <w:sz w:val="24"/>
      <w:szCs w:val="24"/>
    </w:rPr>
  </w:style>
  <w:style w:type="paragraph" w:styleId="Style13">
    <w:name w:val="索引"/>
    <w:basedOn w:val="Normal"/>
    <w:qFormat/>
    <w:pPr>
      <w:suppressLineNumbers/>
    </w:pPr>
    <w:rPr>
      <w:lang w:val="zxx" w:eastAsia="zxx" w:bidi="zxx"/>
    </w:rPr>
  </w:style>
  <w:style w:type="paragraph" w:styleId="Style14">
    <w:name w:val="Title"/>
    <w:basedOn w:val="Style9"/>
    <w:qFormat/>
    <w:pPr>
      <w:spacing w:lineRule="auto" w:line="288" w:before="480" w:after="480"/>
      <w:ind w:left="0" w:hanging="0"/>
    </w:pPr>
    <w:rPr>
      <w:rFonts w:ascii="Arial" w:hAnsi="Arial" w:eastAsia="等线" w:cs="Arial"/>
      <w:b/>
      <w:bCs/>
      <w:sz w:val="52"/>
      <w:szCs w:val="52"/>
    </w:rPr>
  </w:style>
  <w:style w:type="paragraph" w:styleId="Strong">
    <w:name w:val="Strong"/>
    <w:qFormat/>
    <w:pPr>
      <w:widowControl/>
      <w:bidi w:val="0"/>
      <w:spacing w:before="0" w:after="0"/>
      <w:jc w:val="left"/>
    </w:pPr>
    <w:rPr>
      <w:rFonts w:ascii="Times New Roman" w:hAnsi="Times New Roman" w:eastAsia="Noto Sans Mono CJK SC" w:cs="Noto Sans Mono CJK SC"/>
      <w:b/>
      <w:bCs/>
      <w:color w:val="auto"/>
      <w:kern w:val="0"/>
      <w:sz w:val="20"/>
      <w:szCs w:val="20"/>
      <w:lang w:val="en-US" w:eastAsia="zh-CN" w:bidi="hi-IN"/>
    </w:rPr>
  </w:style>
  <w:style w:type="paragraph" w:styleId="ListParagraph">
    <w:name w:val="List Paragraph"/>
    <w:qFormat/>
    <w:pPr>
      <w:widowControl/>
      <w:bidi w:val="0"/>
      <w:spacing w:before="0" w:after="0"/>
      <w:jc w:val="left"/>
    </w:pPr>
    <w:rPr>
      <w:rFonts w:ascii="Times New Roman" w:hAnsi="Times New Roman" w:eastAsia="Noto Sans Mono CJK SC" w:cs="Noto Sans Mono CJK SC"/>
      <w:color w:val="auto"/>
      <w:kern w:val="0"/>
      <w:sz w:val="20"/>
      <w:szCs w:val="20"/>
      <w:lang w:val="en-US" w:eastAsia="zh-CN" w:bidi="hi-IN"/>
    </w:rPr>
  </w:style>
  <w:style w:type="paragraph" w:styleId="Style15">
    <w:name w:val="Footnote Text"/>
    <w:basedOn w:val="Normal"/>
    <w:link w:val="FootnoteTextChar"/>
    <w:uiPriority w:val="99"/>
    <w:semiHidden/>
    <w:unhideWhenUsed/>
    <w:pPr>
      <w:spacing w:lineRule="auto" w:line="240" w:before="0" w:after="0"/>
    </w:pPr>
    <w:rPr>
      <w:sz w:val="20"/>
      <w:szCs w:val="20"/>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1</TotalTime>
  <Application>LibreOfficeDev/7.3.1.3.0$Android_AARCH64 LibreOffice_project/</Application>
  <AppVersion>15.0000</AppVersion>
  <Pages>15</Pages>
  <Words>3970</Words>
  <Characters>27658</Characters>
  <CharactersWithSpaces>31442</CharactersWithSpaces>
  <Paragraphs>187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2026-08-19T07:00:55Z</dcterms:created>
  <dc:creator>Un-named</dc:creator>
  <dc:description/>
  <dc:language>zh-CN</dc:language>
  <cp:lastModifiedBy/>
  <dcterms:modified xsi:type="dcterms:W3CDTF">2026-08-19T15:02:48Z</dcterms:modified>
  <cp:revision>2</cp:revision>
  <dc:subject/>
  <dc:title/>
</cp:coreProperties>
</file>