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4"/>
        <w:spacing w:lineRule="auto" w:line="288" w:before="480" w:after="480"/>
        <w:ind w:left="0" w:hanging="0"/>
        <w:rPr/>
      </w:pPr>
      <w:r>
        <w:rPr/>
      </w:r>
    </w:p>
    <w:p>
      <w:pPr>
        <w:pStyle w:val="1"/>
        <w:rPr/>
      </w:pPr>
      <w:r>
        <w:rPr/>
        <w:t>A Comparative Analysis of Inclusive Education and Rehabilitation Support Systems for Children with Special Needs between Brunei Darussalam and Singapore</w:t>
      </w:r>
    </w:p>
    <w:p>
      <w:pPr>
        <w:pStyle w:val="Normal"/>
        <w:rPr/>
      </w:pPr>
      <w:r>
        <w:rPr>
          <w:b/>
          <w:bCs/>
        </w:rPr>
        <w:t>Keywords</w:t>
      </w:r>
      <w:r>
        <w:rPr/>
        <w:t>: inclusive education; children with special needs; rehabilitation services; transition; family support; Brunei Darussalam; Singapore</w:t>
      </w:r>
    </w:p>
    <w:p>
      <w:pPr>
        <w:pStyle w:val="2"/>
        <w:rPr/>
      </w:pPr>
      <w:r>
        <w:rPr/>
        <w:t>Abstract</w:t>
      </w:r>
    </w:p>
    <w:p>
      <w:pPr>
        <w:pStyle w:val="Normal"/>
        <w:rPr/>
      </w:pPr>
      <w:r>
        <w:rPr/>
        <w:t>The quality of inclusive education hinges on policy</w:t>
        <w:noBreakHyphen/>
        <w:t>institutional frameworks, as well as a complete continuum of screening, assessment, intervention and transition. It also requires supporting community resources, family empowerment, healthcare security, employment transition and assistive</w:t>
        <w:noBreakHyphen/>
        <w:t>technology systems (WHO, 2022). Both Brunei Darussalam and Singapore are high</w:t>
        <w:noBreakHyphen/>
        <w:t>income Southeast Asian nations, yet they differ markedly in national governance models, socio</w:t>
        <w:noBreakHyphen/>
        <w:t>cultural contexts and administrative structures. Brunei adopts Melayu Islam Beraja (MIB) as its national philosophy and runs two parallel education systems: general schools under the Ministry of Education and Ugama religious schools administered by the Ministry of Religious Affairs. Singapore is a city</w:t>
        <w:noBreakHyphen/>
        <w:t>state with centralised governance and a highly institutionalised multi</w:t>
        <w:noBreakHyphen/>
        <w:t>agency support system for persons with special needs (Harun et al., 2023; Ng &amp; Tan, 2025). Adopting a documentary comparative method and drawing on official national documents, local empirical studies and NGO reports, this paper conducts a systematic comparison across eleven dimensions: policy frameworks, early</w:t>
        <w:noBreakHyphen/>
        <w:t>stage screening, assessment, intervention procedures, transition services, community</w:t>
        <w:noBreakHyphen/>
        <w:t>based services, family support, healthcare security, educational pedagogies, employment support and technology investment. The study finds that Singapore has built a closed</w:t>
        <w:noBreakHyphen/>
        <w:t>loop service chain characterised by centralised governance and cross</w:t>
        <w:noBreakHyphen/>
        <w:t>agency coordination. Brunei possesses sound welfare foundations and a policy framework for inclusive education; nevertheless, it shows conspicuous gaps in policy implementation, inter</w:t>
        <w:noBreakHyphen/>
        <w:t>departmental collaboration, standardised transition protocols and community</w:t>
        <w:noBreakHyphen/>
        <w:t>rehabilitation systems. Its dual</w:t>
        <w:noBreakHyphen/>
        <w:t>track education system further fragments service delivery. Shared challenges facing both countries include teacher capacity</w:t>
        <w:noBreakHyphen/>
        <w:t>building, popularisation of assistive technology and employment barriers for young people with disabilities. This research offers references for ASEAN member states with Muslim</w:t>
        <w:noBreakHyphen/>
        <w:t>cultural backgrounds seeking to improve inclusive</w:t>
        <w:noBreakHyphen/>
        <w:t>education and rehabilitation systems.</w:t>
      </w:r>
    </w:p>
    <w:p>
      <w:pPr>
        <w:pStyle w:val="Normal"/>
        <w:rPr/>
      </w:pPr>
      <w:r>
        <w:rPr>
          <w:b/>
          <w:bCs/>
        </w:rPr>
        <w:t>Keywords</w:t>
      </w:r>
      <w:r>
        <w:rPr/>
        <w:t>: inclusive education; rehabilitation</w:t>
        <w:noBreakHyphen/>
        <w:t>education continuum for children with special needs; transition services; Brunei Darussalam; Singapore</w:t>
      </w:r>
    </w:p>
    <w:p>
      <w:pPr>
        <w:pStyle w:val="2"/>
        <w:rPr/>
      </w:pPr>
      <w:r>
        <w:rPr/>
        <w:t>1. Introduction</w:t>
      </w:r>
    </w:p>
    <w:p>
      <w:pPr>
        <w:pStyle w:val="Normal"/>
        <w:rPr/>
      </w:pPr>
      <w:r>
        <w:rPr/>
        <w:t>The United Nations Convention on the Rights of Persons with Disabilities (CRPD) stipulates that children with disabilities are entitled to continuous, seamless educational, rehabilitative and social</w:t>
        <w:noBreakHyphen/>
        <w:t>support services within inclusive settings (United Nations, 2006). Comparative research among high</w:t>
        <w:noBreakHyphen/>
        <w:t>income Southeast Asian countries helps identify discrepancies between policy texts and grassroots practice and prevents uncritical replication of Western models (ASEAN Secretariat, 2023).</w:t>
      </w:r>
    </w:p>
    <w:p>
      <w:pPr>
        <w:pStyle w:val="Normal"/>
        <w:rPr/>
      </w:pPr>
      <w:r>
        <w:rPr/>
        <w:t>Brunei ratified the CRPD in 2016 and promoted inclusive education under the SPN21 21st</w:t>
        <w:noBreakHyphen/>
        <w:t>Century National Education Reform. Medical rehabilitation is delivered at RIPAS Hospital and the Child Development Centre (CDC). Nonetheless, local empirical research indicates that services are heavily concentrated in Bandar Seri Begawan, the capital, while suburban and rural areas suffer service shortages. There is no collaborative mechanism for addressing special</w:t>
        <w:noBreakHyphen/>
        <w:t>needs pupils between general schools and Ugama religious schools (Koay &amp; Lim, 2025; Othman, 2023).</w:t>
      </w:r>
    </w:p>
    <w:p>
      <w:pPr>
        <w:pStyle w:val="Normal"/>
        <w:rPr/>
      </w:pPr>
      <w:r>
        <w:rPr/>
        <w:t xml:space="preserve">Singapore takes the </w:t>
      </w:r>
      <w:r>
        <w:rPr>
          <w:i/>
          <w:iCs/>
        </w:rPr>
        <w:t>Enable Masterplan</w:t>
      </w:r>
      <w:r>
        <w:rPr/>
        <w:t xml:space="preserve"> as its top</w:t>
        <w:noBreakHyphen/>
        <w:t>level disability</w:t>
        <w:noBreakHyphen/>
        <w:t>sector policy. The Ministry of Education (MOE), Ministry of Social and Family Development (MSF) and SGEnable divide responsibilities and cooperate to construct a full service continuum spanning newborn screening, the Early Intervention Programme for Infants and Children (EIPIC), mainstream and Special Education (SPED) schools, and school</w:t>
        <w:noBreakHyphen/>
        <w:t>to</w:t>
        <w:noBreakHyphen/>
        <w:t>work transition (MOE Singapore, 2026; Ng &amp; Tan, 2025).</w:t>
      </w:r>
    </w:p>
    <w:p>
      <w:pPr>
        <w:pStyle w:val="Normal"/>
        <w:rPr/>
      </w:pPr>
      <w:r>
        <w:rPr/>
        <w:t>Existing ASEAN</w:t>
        <w:noBreakHyphen/>
        <w:t>related literature mostly examines policies of single countries, whereas systematic multi</w:t>
        <w:noBreakHyphen/>
        <w:t>dimensional comparisons between Brunei and Singapore remain scarce. Based on public policies, empirical studies from Universiti Brunei Darussalam, Singapore MOE parliamentary replies, PMC journal articles, reports from the Southeast Asian Ministers of Education Organization (SEAMEO) and NGO survey reports, this paper sorts out and critically reflects on the full inclusive</w:t>
        <w:noBreakHyphen/>
        <w:t>rehabilitation processes of the two jurisdictions.</w:t>
      </w:r>
    </w:p>
    <w:p>
      <w:pPr>
        <w:pStyle w:val="2"/>
        <w:rPr/>
      </w:pPr>
      <w:r>
        <w:rPr/>
        <w:t>2. Multi</w:t>
        <w:noBreakHyphen/>
        <w:t>Dimensional Systematic Comparison</w:t>
      </w:r>
    </w:p>
    <w:p>
      <w:pPr>
        <w:pStyle w:val="3"/>
        <w:rPr/>
      </w:pPr>
      <w:r>
        <w:rPr/>
        <w:t>2.1 Top</w:t>
        <w:noBreakHyphen/>
        <w:t>Level Policy Design</w:t>
      </w:r>
    </w:p>
    <w:p>
      <w:pPr>
        <w:pStyle w:val="4"/>
        <w:rPr/>
      </w:pPr>
      <w:r>
        <w:rPr/>
        <w:t>Brunei Darussalam</w:t>
      </w:r>
    </w:p>
    <w:p>
      <w:pPr>
        <w:pStyle w:val="Normal"/>
        <w:rPr/>
      </w:pPr>
      <w:r>
        <w:rPr>
          <w:b/>
          <w:bCs/>
        </w:rPr>
        <w:t>Top</w:t>
        <w:noBreakHyphen/>
        <w:t>level framework</w:t>
      </w:r>
      <w:r>
        <w:rPr/>
        <w:t>: Inclusive education is endorsed under the SPN21 National Education Reform. Brunei ratified the CRPD in 2016, and the MIB national philosophy advocates assistance for vulnerable groups (Ministry of Education Brunei, 2009; Harun et al., 2023).</w:t>
      </w:r>
    </w:p>
    <w:p>
      <w:pPr>
        <w:pStyle w:val="Normal"/>
        <w:rPr/>
      </w:pPr>
      <w:r>
        <w:rPr>
          <w:b/>
          <w:bCs/>
        </w:rPr>
        <w:t>Education domain</w:t>
      </w:r>
      <w:r>
        <w:rPr/>
        <w:t>: The Ministry of Education deploys the Priority Levels assessment tool to identify students with special needs in general schools. The Brunei Darussalam Teachers’ Academy (BDTA) delivers extensive inclusive</w:t>
        <w:noBreakHyphen/>
        <w:t>education training courses. Individualised Education Plans (IEPs) are recommended but not legally mandated (Hjh Noraini, 2024; Harun et al., 2025).</w:t>
      </w:r>
    </w:p>
    <w:p>
      <w:pPr>
        <w:pStyle w:val="Normal"/>
        <w:rPr/>
      </w:pPr>
      <w:r>
        <w:rPr>
          <w:b/>
          <w:bCs/>
        </w:rPr>
        <w:t>Institutional shortcomings</w:t>
      </w:r>
      <w:r>
        <w:rPr/>
        <w:t>: There exists no official national</w:t>
        <w:noBreakHyphen/>
        <w:t>level policy document for Community</w:t>
        <w:noBreakHyphen/>
        <w:t>Based Rehabilitation (CBR). General schools (under the Ministry of Education) and Ugama religious schools (under the Ministry of Religious Affairs, MoRA) belong to separate administrative systems without a unified special</w:t>
        <w:noBreakHyphen/>
        <w:t>education policy framework (Othman, 2023). No specific anti</w:t>
        <w:noBreakHyphen/>
        <w:t>discrimination legislation for persons with disabilities is in place (ExpatFocus, 2026).</w:t>
      </w:r>
    </w:p>
    <w:p>
      <w:pPr>
        <w:pStyle w:val="4"/>
        <w:rPr/>
      </w:pPr>
      <w:r>
        <w:rPr/>
        <w:t>Singapore</w:t>
      </w:r>
    </w:p>
    <w:p>
      <w:pPr>
        <w:pStyle w:val="Normal"/>
        <w:rPr/>
      </w:pPr>
      <w:r>
        <w:rPr>
          <w:b/>
          <w:bCs/>
        </w:rPr>
        <w:t>Top</w:t>
        <w:noBreakHyphen/>
        <w:t>level framework</w:t>
      </w:r>
      <w:r>
        <w:rPr/>
        <w:t xml:space="preserve">: The quinquennial </w:t>
      </w:r>
      <w:r>
        <w:rPr>
          <w:i/>
          <w:iCs/>
        </w:rPr>
        <w:t>Enable Masterplan</w:t>
      </w:r>
      <w:r>
        <w:rPr/>
        <w:t xml:space="preserve"> coordinates full</w:t>
        <w:noBreakHyphen/>
        <w:t>life</w:t>
        <w:noBreakHyphen/>
        <w:t>cycle services for persons with disabilities. In 2019, children with special needs were brought under the Compulsory Education Act (ASEAN Secretariat, 2023).</w:t>
      </w:r>
    </w:p>
    <w:p>
      <w:pPr>
        <w:pStyle w:val="Normal"/>
        <w:rPr/>
      </w:pPr>
      <w:r>
        <w:rPr>
          <w:b/>
          <w:bCs/>
        </w:rPr>
        <w:t>Division of institutional responsibilities</w:t>
      </w:r>
      <w:r>
        <w:rPr/>
        <w:t>: The MOE oversees school education; the MSF administers EIPIC early</w:t>
        <w:noBreakHyphen/>
        <w:t>intervention services; SGEnable coordinates employment, community</w:t>
        <w:noBreakHyphen/>
        <w:t>level and adult disability services. Regular inter</w:t>
        <w:noBreakHyphen/>
        <w:t>agency collaborative mechanisms have been established (MOE Singapore, 2024).</w:t>
      </w:r>
    </w:p>
    <w:p>
      <w:pPr>
        <w:pStyle w:val="Normal"/>
        <w:rPr/>
      </w:pPr>
      <w:r>
        <w:rPr>
          <w:b/>
          <w:bCs/>
        </w:rPr>
        <w:t>Two</w:t>
        <w:noBreakHyphen/>
        <w:t>track placement</w:t>
      </w:r>
      <w:r>
        <w:rPr/>
        <w:t>: Students with mild special</w:t>
        <w:noBreakHyphen/>
        <w:t>needs attend mainstream general schools and receive in</w:t>
        <w:noBreakHyphen/>
        <w:t>school support from Special Educational Needs (SEN) Officers and Allied Educators. Pupils with moderate</w:t>
        <w:noBreakHyphen/>
        <w:t>to</w:t>
        <w:noBreakHyphen/>
        <w:t>severe needs are placed in SPED special</w:t>
        <w:noBreakHyphen/>
        <w:t>education schools. IEPs are systematically implemented in both mainstream and SPED contexts (Ng &amp; Tan, 2025).</w:t>
      </w:r>
    </w:p>
    <w:p>
      <w:pPr>
        <w:pStyle w:val="3"/>
        <w:rPr/>
      </w:pPr>
      <w:r>
        <w:rPr/>
        <w:t>2.2 Early</w:t>
        <w:noBreakHyphen/>
        <w:t>Stage Screening</w:t>
      </w:r>
    </w:p>
    <w:p>
      <w:pPr>
        <w:pStyle w:val="4"/>
        <w:rPr/>
      </w:pPr>
      <w:r>
        <w:rPr/>
        <w:t>Brunei Darussalam</w:t>
      </w:r>
    </w:p>
    <w:p>
      <w:pPr>
        <w:pStyle w:val="Normal"/>
        <w:rPr/>
      </w:pPr>
      <w:r>
        <w:rPr/>
        <w:t>Newborn hearing screening is available at RIPAS public hospital. Developmental screening for children aged 0</w:t>
        <w:noBreakHyphen/>
        <w:t>6 is primarily undertaken by the CDC at RIPAS Hospital. Primary</w:t>
        <w:noBreakHyphen/>
        <w:t>care community health posts lack standardised routine developmental</w:t>
        <w:noBreakHyphen/>
        <w:t>screening instruments (Koay &amp; Lim, 2025).</w:t>
      </w:r>
    </w:p>
    <w:p>
      <w:pPr>
        <w:pStyle w:val="Normal"/>
        <w:rPr/>
      </w:pPr>
      <w:r>
        <w:rPr>
          <w:b/>
          <w:bCs/>
        </w:rPr>
        <w:t>Trigger for identification</w:t>
      </w:r>
      <w:r>
        <w:rPr/>
        <w:t>: Detection mostly relies on parental awareness and hospital paediatric services. Preschools operate no unified systematic developmental</w:t>
        <w:noBreakHyphen/>
        <w:t>screening procedures. Families in suburban areas must travel long distances to the capital for assessments, with lengthy waiting queues and no interim support during waiting periods (ERIC Brunei, 2022).</w:t>
      </w:r>
    </w:p>
    <w:p>
      <w:pPr>
        <w:pStyle w:val="Normal"/>
        <w:rPr/>
      </w:pPr>
      <w:r>
        <w:rPr>
          <w:b/>
          <w:bCs/>
        </w:rPr>
        <w:t>Limitations</w:t>
      </w:r>
      <w:r>
        <w:rPr/>
        <w:t>: No nationally standardised developmental</w:t>
        <w:noBreakHyphen/>
        <w:t>screening checklist is embedded within national child</w:t>
        <w:noBreakHyphen/>
        <w:t>health handbooks; screening services are insufficiently decentralised to local communities.</w:t>
      </w:r>
    </w:p>
    <w:p>
      <w:pPr>
        <w:pStyle w:val="4"/>
        <w:rPr/>
      </w:pPr>
      <w:r>
        <w:rPr/>
        <w:t>Singapore</w:t>
      </w:r>
    </w:p>
    <w:p>
      <w:pPr>
        <w:pStyle w:val="Normal"/>
        <w:rPr/>
      </w:pPr>
      <w:r>
        <w:rPr/>
        <w:t>Universal newborn hearing screening is implemented. Nationwide child</w:t>
        <w:noBreakHyphen/>
        <w:t>health handbooks contain age</w:t>
        <w:noBreakHyphen/>
        <w:t>stratified developmental</w:t>
        <w:noBreakHyphen/>
        <w:t>screening scales including autism</w:t>
        <w:noBreakHyphen/>
        <w:t>specific early</w:t>
        <w:noBreakHyphen/>
        <w:t>detection items. Community general</w:t>
        <w:noBreakHyphen/>
        <w:t>practitioner clinics, kindergartens and childcare centres all serve as screening touch</w:t>
        <w:noBreakHyphen/>
        <w:t>points (PMC, 2022).</w:t>
      </w:r>
    </w:p>
    <w:p>
      <w:pPr>
        <w:pStyle w:val="Normal"/>
        <w:rPr/>
      </w:pPr>
      <w:r>
        <w:rPr/>
        <w:t>Under the InSP inclusive preschool programme administered by the Early Childhood Development Agency (ECDA), screening and identification take place within kindergarten premises and directly link to on</w:t>
        <w:noBreakHyphen/>
        <w:t>site interventions, reducing children’s need to travel between agencies (ECDA, 2025).</w:t>
      </w:r>
    </w:p>
    <w:p>
      <w:pPr>
        <w:pStyle w:val="Normal"/>
        <w:rPr/>
      </w:pPr>
      <w:r>
        <w:rPr/>
        <w:t>Universal literacy</w:t>
        <w:noBreakHyphen/>
        <w:t>and</w:t>
        <w:noBreakHyphen/>
        <w:t>language screening is conducted upon Primary</w:t>
        <w:noBreakHyphen/>
        <w:t>One school entry, complemented by behavioural observations by SEN Officers to deliver secondary identification at school admission (MOE Singapore, 2026</w:t>
        <w:noBreakHyphen/>
        <w:t>02</w:t>
        <w:noBreakHyphen/>
        <w:t>03).</w:t>
      </w:r>
    </w:p>
    <w:p>
      <w:pPr>
        <w:pStyle w:val="3"/>
        <w:rPr/>
      </w:pPr>
      <w:r>
        <w:rPr/>
        <w:t>2.3 Assessment Systems</w:t>
      </w:r>
    </w:p>
    <w:p>
      <w:pPr>
        <w:pStyle w:val="4"/>
        <w:rPr/>
      </w:pPr>
      <w:r>
        <w:rPr/>
        <w:t>Brunei Darussalam</w:t>
      </w:r>
    </w:p>
    <w:p>
      <w:pPr>
        <w:pStyle w:val="Normal"/>
        <w:rPr/>
      </w:pPr>
      <w:r>
        <w:rPr>
          <w:b/>
          <w:bCs/>
        </w:rPr>
        <w:t>Medical assessment</w:t>
      </w:r>
      <w:r>
        <w:rPr/>
        <w:t>: Multi</w:t>
        <w:noBreakHyphen/>
        <w:t>disciplinary medical</w:t>
        <w:noBreakHyphen/>
        <w:t>developmental assessments are completed by the CDC at RIPAS Hospital, producing medical</w:t>
        <w:noBreakHyphen/>
        <w:t>rehabilitation reports.</w:t>
      </w:r>
    </w:p>
    <w:p>
      <w:pPr>
        <w:pStyle w:val="Normal"/>
        <w:rPr/>
      </w:pPr>
      <w:r>
        <w:rPr>
          <w:b/>
          <w:bCs/>
        </w:rPr>
        <w:t>Educational assessment</w:t>
      </w:r>
      <w:r>
        <w:rPr/>
        <w:t>: Special</w:t>
        <w:noBreakHyphen/>
        <w:t>Education</w:t>
        <w:noBreakHyphen/>
        <w:t>Need Assistant (SENA) teachers in general schools apply the locally developed Priority Levels tool to stratify student</w:t>
        <w:noBreakHyphen/>
        <w:t>support requirements; this instrument applies solely to Ministry</w:t>
        <w:noBreakHyphen/>
        <w:t>of</w:t>
        <w:noBreakHyphen/>
        <w:t>Education</w:t>
        <w:noBreakHyphen/>
        <w:t>run general schools, with no equivalent assessment toolkit for Ugama religious schools (Hjh Noraini, 2024).</w:t>
      </w:r>
    </w:p>
    <w:p>
      <w:pPr>
        <w:pStyle w:val="Normal"/>
        <w:rPr/>
      </w:pPr>
      <w:r>
        <w:rPr>
          <w:b/>
          <w:bCs/>
        </w:rPr>
        <w:t>Practical realities</w:t>
      </w:r>
      <w:r>
        <w:rPr/>
        <w:t>: No official standardised multi</w:t>
        <w:noBreakHyphen/>
        <w:t>disciplinary joint</w:t>
        <w:noBreakHyphen/>
        <w:t>assessment procedures exist. Transfer of assessment documentation largely depends on parents manually submitting reports across institutions without formal inter</w:t>
        <w:noBreakHyphen/>
        <w:t>agency file</w:t>
        <w:noBreakHyphen/>
        <w:t>sharing. Functional Behavioural Assessment (FBA) is confined to a small number of demonstration schools and has not achieved nationwide roll</w:t>
        <w:noBreakHyphen/>
        <w:t>out (Harun et al., 2023).</w:t>
      </w:r>
    </w:p>
    <w:p>
      <w:pPr>
        <w:pStyle w:val="4"/>
        <w:rPr/>
      </w:pPr>
      <w:r>
        <w:rPr/>
        <w:t>Singapore</w:t>
      </w:r>
    </w:p>
    <w:p>
      <w:pPr>
        <w:pStyle w:val="Normal"/>
        <w:rPr/>
      </w:pPr>
      <w:r>
        <w:rPr>
          <w:b/>
          <w:bCs/>
        </w:rPr>
        <w:t>Stratified assessment pathways</w:t>
      </w:r>
      <w:r>
        <w:rPr/>
        <w:t>: Hospitals or specialist centres deliver medical diagnoses; MOE educational psychologists conduct education</w:t>
        <w:noBreakHyphen/>
        <w:t>oriented diagnostic assessments upon school referrals and with informed parental consent. Assessment for mainstream</w:t>
        <w:noBreakHyphen/>
        <w:t>school students takes approximately two months on average. Interim in</w:t>
        <w:noBreakHyphen/>
        <w:t>school support is provided throughout the assessment period to avoid service gaps (MOE Singapore, 2026</w:t>
        <w:noBreakHyphen/>
        <w:t>02</w:t>
        <w:noBreakHyphen/>
        <w:t>03).</w:t>
      </w:r>
    </w:p>
    <w:p>
      <w:pPr>
        <w:pStyle w:val="Normal"/>
        <w:rPr/>
      </w:pPr>
      <w:r>
        <w:rPr>
          <w:b/>
          <w:bCs/>
        </w:rPr>
        <w:t>Multi</w:t>
        <w:noBreakHyphen/>
        <w:t>disciplinary integration</w:t>
      </w:r>
      <w:r>
        <w:rPr/>
        <w:t>: Educational psychologists, rehabilitation therapists and SEN teachers collaborate. Formal assessment records are generated through EIPIC early</w:t>
        <w:noBreakHyphen/>
        <w:t>intervention services. Files are officially transferred between agencies during preschool</w:t>
        <w:noBreakHyphen/>
        <w:t>to</w:t>
        <w:noBreakHyphen/>
        <w:t>primary</w:t>
        <w:noBreakHyphen/>
        <w:t>school transitions rather than relying entirely on parents (MOE Singapore, 2026).</w:t>
      </w:r>
    </w:p>
    <w:p>
      <w:pPr>
        <w:pStyle w:val="Normal"/>
        <w:rPr/>
      </w:pPr>
      <w:r>
        <w:rPr>
          <w:b/>
          <w:bCs/>
        </w:rPr>
        <w:t>Instrument standardisation</w:t>
      </w:r>
      <w:r>
        <w:rPr/>
        <w:t>: Internationally validated scales are deployed alongside local</w:t>
        <w:noBreakHyphen/>
        <w:t>norm adaptation. Medical diagnosis is distinguished from educational</w:t>
        <w:noBreakHyphen/>
        <w:t>functional assessment: students qualify for in</w:t>
        <w:noBreakHyphen/>
        <w:t>school support based on observed educational difficulties even without formal medical diagnoses.</w:t>
      </w:r>
    </w:p>
    <w:p>
      <w:pPr>
        <w:pStyle w:val="3"/>
        <w:rPr/>
      </w:pPr>
      <w:r>
        <w:rPr/>
        <w:t>2.4 Intervention Procedures</w:t>
      </w:r>
    </w:p>
    <w:p>
      <w:pPr>
        <w:pStyle w:val="4"/>
        <w:rPr/>
      </w:pPr>
      <w:r>
        <w:rPr/>
        <w:t>Brunei Darussalam</w:t>
      </w:r>
    </w:p>
    <w:p>
      <w:pPr>
        <w:pStyle w:val="Normal"/>
        <w:rPr/>
      </w:pPr>
      <w:r>
        <w:rPr/>
        <w:t>Medical</w:t>
        <w:noBreakHyphen/>
        <w:t>rehabilitation interventions are centralised at RIPAS Hospital’s CDC. Non</w:t>
        <w:noBreakHyphen/>
        <w:t>governmental organisations such as Learning Ladders Society deliver supplementary fee</w:t>
        <w:noBreakHyphen/>
        <w:t>based interventions including Applied Behaviour Analysis (ABA) for autistic children (Learning Ladders Society, 2024).</w:t>
      </w:r>
    </w:p>
    <w:p>
      <w:pPr>
        <w:pStyle w:val="Normal"/>
        <w:rPr/>
      </w:pPr>
      <w:r>
        <w:rPr>
          <w:b/>
          <w:bCs/>
        </w:rPr>
        <w:t>School</w:t>
        <w:noBreakHyphen/>
        <w:t>based interventions</w:t>
      </w:r>
      <w:r>
        <w:rPr/>
        <w:t>: SENA teachers provide in</w:t>
        <w:noBreakHyphen/>
        <w:t>school support within general</w:t>
        <w:noBreakHyphen/>
        <w:t>school settings. IEPs remain advisory rather than mandatory, and unified oversight mechanisms for intervention implementation are absent.</w:t>
      </w:r>
    </w:p>
    <w:p>
      <w:pPr>
        <w:pStyle w:val="Normal"/>
        <w:rPr/>
      </w:pPr>
      <w:r>
        <w:rPr>
          <w:b/>
          <w:bCs/>
        </w:rPr>
        <w:t>Service gaps</w:t>
      </w:r>
      <w:r>
        <w:rPr/>
        <w:t>: No nationally led standardised community</w:t>
        <w:noBreakHyphen/>
        <w:t>level intervention services are available. Official interim interventions are unavailable during hospital</w:t>
        <w:noBreakHyphen/>
        <w:t>assessment waiting periods; families must turn to NGOs and parent</w:t>
        <w:noBreakHyphen/>
        <w:t>led organisations (Koay &amp; Lim, 2025). Virtually no intervention protocols apply to Ugama religious</w:t>
        <w:noBreakHyphen/>
        <w:t>classroom contexts (Harun et al., 2023).</w:t>
      </w:r>
    </w:p>
    <w:p>
      <w:pPr>
        <w:pStyle w:val="4"/>
        <w:rPr/>
      </w:pPr>
      <w:r>
        <w:rPr/>
        <w:t>Singapore</w:t>
      </w:r>
    </w:p>
    <w:p>
      <w:pPr>
        <w:pStyle w:val="Normal"/>
        <w:rPr/>
      </w:pPr>
      <w:r>
        <w:rPr>
          <w:b/>
          <w:bCs/>
        </w:rPr>
        <w:t>Age 0</w:t>
        <w:noBreakHyphen/>
        <w:t>6</w:t>
      </w:r>
      <w:r>
        <w:rPr/>
        <w:t>: EIPIC early</w:t>
        <w:noBreakHyphen/>
        <w:t>intervention centres deliver intensive multi</w:t>
        <w:noBreakHyphen/>
        <w:t>disciplinary interventions. The InSP programme embeds interventions directly within regular kindergartens to minimise travel burdens (ECDA, 2025).</w:t>
      </w:r>
    </w:p>
    <w:p>
      <w:pPr>
        <w:pStyle w:val="Normal"/>
        <w:rPr/>
      </w:pPr>
      <w:r>
        <w:rPr>
          <w:b/>
          <w:bCs/>
        </w:rPr>
        <w:t>Mainstream</w:t>
        <w:noBreakHyphen/>
        <w:t>school interventions</w:t>
      </w:r>
      <w:r>
        <w:rPr/>
        <w:t>: SEN Officers offer in</w:t>
        <w:noBreakHyphen/>
        <w:t>class support and pull</w:t>
        <w:noBreakHyphen/>
        <w:t>out group</w:t>
        <w:noBreakHyphen/>
        <w:t>skill training. The TRANSIT programme targets Primary</w:t>
        <w:noBreakHyphen/>
        <w:t>One pupils experiencing socio</w:t>
        <w:noBreakHyphen/>
        <w:t>behavioural challenges, building emotion</w:t>
        <w:noBreakHyphen/>
        <w:t>regulation and classroom</w:t>
        <w:noBreakHyphen/>
        <w:t>routine competencies (MOE Singapore, 2026</w:t>
        <w:noBreakHyphen/>
        <w:t>01</w:t>
        <w:noBreakHyphen/>
        <w:t>16).</w:t>
      </w:r>
    </w:p>
    <w:p>
      <w:pPr>
        <w:pStyle w:val="Normal"/>
        <w:rPr/>
      </w:pPr>
      <w:r>
        <w:rPr>
          <w:b/>
          <w:bCs/>
        </w:rPr>
        <w:t>SPED special</w:t>
        <w:noBreakHyphen/>
        <w:t>education schools</w:t>
      </w:r>
      <w:r>
        <w:rPr/>
        <w:t>: Structured curricula, life</w:t>
        <w:noBreakHyphen/>
        <w:t>skill instruction and pre</w:t>
        <w:noBreakHyphen/>
        <w:t>vocational training are delivered with on</w:t>
        <w:noBreakHyphen/>
        <w:t>site therapists present. Intervention goals are documented within IEPs subject to periodic review and revision (MOE, 2025</w:t>
        <w:noBreakHyphen/>
        <w:t>11</w:t>
        <w:noBreakHyphen/>
        <w:t>18).</w:t>
      </w:r>
    </w:p>
    <w:p>
      <w:pPr>
        <w:pStyle w:val="3"/>
        <w:rPr/>
      </w:pPr>
      <w:r>
        <w:rPr/>
        <w:t>2.5 Transition Services (Rehabilitation</w:t>
        <w:noBreakHyphen/>
        <w:t>Education Stages to Adulthood)</w:t>
      </w:r>
    </w:p>
    <w:p>
      <w:pPr>
        <w:pStyle w:val="4"/>
        <w:rPr/>
      </w:pPr>
      <w:r>
        <w:rPr/>
        <w:t>Brunei Darussalam</w:t>
      </w:r>
    </w:p>
    <w:p>
      <w:pPr>
        <w:pStyle w:val="Normal"/>
        <w:rPr/>
      </w:pPr>
      <w:r>
        <w:rPr/>
        <w:t>No official standardised inter</w:t>
        <w:noBreakHyphen/>
        <w:t>departmental transition</w:t>
        <w:noBreakHyphen/>
        <w:t>system documentation exists (Othman, 2023).</w:t>
      </w:r>
    </w:p>
    <w:p>
      <w:pPr>
        <w:pStyle w:val="Normal"/>
        <w:rPr/>
      </w:pPr>
      <w:r>
        <w:rPr>
          <w:b/>
          <w:bCs/>
        </w:rPr>
        <w:t>De</w:t>
        <w:noBreakHyphen/>
        <w:t>facto pathways</w:t>
      </w:r>
      <w:r>
        <w:rPr/>
        <w:t>: Parents manually submit hospital</w:t>
        <w:noBreakHyphen/>
        <w:t>assessment reports to schools. When schools identify learning difficulties, they advise families to seek assessment at the CDC via waiting</w:t>
        <w:noBreakHyphen/>
        <w:t>list enrolment. No formal file</w:t>
        <w:noBreakHyphen/>
        <w:t>transfer mechanisms operate across preschool</w:t>
        <w:noBreakHyphen/>
        <w:t>to</w:t>
        <w:noBreakHyphen/>
        <w:t>primary or primary</w:t>
        <w:noBreakHyphen/>
        <w:t>to</w:t>
        <w:noBreakHyphen/>
        <w:t>secondary transitions.</w:t>
      </w:r>
    </w:p>
    <w:p>
      <w:pPr>
        <w:pStyle w:val="Normal"/>
        <w:rPr/>
      </w:pPr>
      <w:r>
        <w:rPr>
          <w:b/>
          <w:bCs/>
        </w:rPr>
        <w:t>Key institutional pain</w:t>
        <w:noBreakHyphen/>
        <w:t>points</w:t>
      </w:r>
      <w:r>
        <w:rPr/>
        <w:t>: Many children attend both general schools and Ugama religious schools simultaneously; assessment and rehabilitation information cannot be synchronised for religious</w:t>
        <w:noBreakHyphen/>
        <w:t>classroom settings. Institutional frameworks for school</w:t>
        <w:noBreakHyphen/>
        <w:t>to</w:t>
        <w:noBreakHyphen/>
        <w:t>adult</w:t>
        <w:noBreakHyphen/>
        <w:t>employment transition are virtually non</w:t>
        <w:noBreakHyphen/>
        <w:t>existent, and transition outcomes rely entirely on families and scattered NGOs (Harun et al., 2023).</w:t>
      </w:r>
    </w:p>
    <w:p>
      <w:pPr>
        <w:pStyle w:val="4"/>
        <w:rPr/>
      </w:pPr>
      <w:r>
        <w:rPr/>
        <w:t>Singapore</w:t>
      </w:r>
    </w:p>
    <w:p>
      <w:pPr>
        <w:pStyle w:val="Normal"/>
        <w:rPr/>
      </w:pPr>
      <w:r>
        <w:rPr>
          <w:b/>
          <w:bCs/>
        </w:rPr>
        <w:t>EIPIC</w:t>
        <w:noBreakHyphen/>
        <w:t>preschool</w:t>
        <w:noBreakHyphen/>
        <w:t>to</w:t>
        <w:noBreakHyphen/>
        <w:t>primary</w:t>
        <w:noBreakHyphen/>
        <w:t>school transition</w:t>
      </w:r>
      <w:r>
        <w:rPr/>
        <w:t>: Formal record</w:t>
        <w:noBreakHyphen/>
        <w:t>transfer protocols ensure receiving primary schools receive advance notification of children’s support needs to facilitate class</w:t>
        <w:noBreakHyphen/>
        <w:t>allocation and resource</w:t>
        <w:noBreakHyphen/>
        <w:t>planning (MOE, 2026</w:t>
        <w:noBreakHyphen/>
        <w:t>02</w:t>
        <w:noBreakHyphen/>
        <w:t>03).</w:t>
      </w:r>
    </w:p>
    <w:p>
      <w:pPr>
        <w:pStyle w:val="Normal"/>
        <w:rPr/>
      </w:pPr>
      <w:r>
        <w:rPr>
          <w:b/>
          <w:bCs/>
        </w:rPr>
        <w:t>Intra</w:t>
        <w:noBreakHyphen/>
        <w:t>school</w:t>
        <w:noBreakHyphen/>
        <w:t>stage transitions</w:t>
      </w:r>
      <w:r>
        <w:rPr/>
        <w:t>: SEN documentation is shared between primary and secondary schools with follow</w:t>
        <w:noBreakHyphen/>
        <w:t>up by educational psychologists. Formal referral pathways governed by the MOE regulate placements between mainstream and SPED schools instead of requiring purely parent</w:t>
        <w:noBreakHyphen/>
        <w:t>driven applications.</w:t>
      </w:r>
    </w:p>
    <w:p>
      <w:pPr>
        <w:pStyle w:val="Normal"/>
        <w:rPr/>
      </w:pPr>
      <w:r>
        <w:rPr>
          <w:b/>
          <w:bCs/>
        </w:rPr>
        <w:t>School</w:t>
        <w:noBreakHyphen/>
        <w:t>to</w:t>
        <w:noBreakHyphen/>
        <w:t>employment transition</w:t>
      </w:r>
      <w:r>
        <w:rPr/>
        <w:t>: The School</w:t>
        <w:noBreakHyphen/>
        <w:t>to</w:t>
        <w:noBreakHyphen/>
        <w:t>Work (S2W) programme and SGEnable Internship</w:t>
        <w:noBreakHyphen/>
        <w:t>and</w:t>
        <w:noBreakHyphen/>
        <w:t>Employment Support Schemes are implemented. Individual Transition Plans (ITPs) are formulated within SPED secondary</w:t>
        <w:noBreakHyphen/>
        <w:t>school contexts (MOE, 2025</w:t>
        <w:noBreakHyphen/>
        <w:t>11</w:t>
        <w:noBreakHyphen/>
        <w:t>18; MOE, 2026</w:t>
        <w:noBreakHyphen/>
        <w:t>01</w:t>
        <w:noBreakHyphen/>
        <w:t>02).</w:t>
      </w:r>
    </w:p>
    <w:p>
      <w:pPr>
        <w:pStyle w:val="3"/>
        <w:rPr/>
      </w:pPr>
      <w:r>
        <w:rPr/>
        <w:t>2.6 Community</w:t>
        <w:noBreakHyphen/>
        <w:t>Based Services</w:t>
      </w:r>
    </w:p>
    <w:p>
      <w:pPr>
        <w:pStyle w:val="4"/>
        <w:rPr/>
      </w:pPr>
      <w:r>
        <w:rPr/>
        <w:t>Brunei Darussalam</w:t>
      </w:r>
    </w:p>
    <w:p>
      <w:pPr>
        <w:pStyle w:val="Normal"/>
        <w:rPr/>
      </w:pPr>
      <w:r>
        <w:rPr>
          <w:b/>
          <w:bCs/>
        </w:rPr>
        <w:t>Government</w:t>
        <w:noBreakHyphen/>
        <w:t>led provision</w:t>
      </w:r>
      <w:r>
        <w:rPr/>
        <w:t>: No national standardised CBR framework is established. Outreach home</w:t>
        <w:noBreakHyphen/>
        <w:t>visit projects run by the Ministry of Culture, Youth and Sports operate with limited service frequency (Abang, 2023).</w:t>
      </w:r>
    </w:p>
    <w:p>
      <w:pPr>
        <w:pStyle w:val="Normal"/>
        <w:rPr/>
      </w:pPr>
      <w:r>
        <w:rPr>
          <w:b/>
          <w:bCs/>
        </w:rPr>
        <w:t>Civil</w:t>
        <w:noBreakHyphen/>
        <w:t>society supplementation</w:t>
      </w:r>
      <w:r>
        <w:rPr/>
        <w:t>: Parent</w:t>
        <w:noBreakHyphen/>
        <w:t>led NGOs including Learning Ladders deliver community</w:t>
        <w:noBreakHyphen/>
        <w:t>level public education and peer</w:t>
        <w:noBreakHyphen/>
        <w:t>mutual</w:t>
        <w:noBreakHyphen/>
        <w:t>aid activities. Local mosques enjoy high social credibility yet have not been systematically incorporated into support systems for children with special needs (Yusoff et al., 2022; comparable insights from Malaysian socio</w:t>
        <w:noBreakHyphen/>
        <w:t>cultural research).</w:t>
      </w:r>
    </w:p>
    <w:p>
      <w:pPr>
        <w:pStyle w:val="Normal"/>
        <w:rPr/>
      </w:pPr>
      <w:r>
        <w:rPr>
          <w:b/>
          <w:bCs/>
        </w:rPr>
        <w:t>Shortcomings</w:t>
      </w:r>
      <w:r>
        <w:rPr/>
        <w:t>: Communities lack resident rehabilitation therapists; rural and suburban communities face severe resource shortages.</w:t>
      </w:r>
    </w:p>
    <w:p>
      <w:pPr>
        <w:pStyle w:val="4"/>
        <w:rPr/>
      </w:pPr>
      <w:r>
        <w:rPr/>
        <w:t>Singapore</w:t>
      </w:r>
    </w:p>
    <w:p>
      <w:pPr>
        <w:pStyle w:val="Normal"/>
        <w:rPr/>
      </w:pPr>
      <w:r>
        <w:rPr/>
        <w:t>The MSF and SGEnable administer community</w:t>
        <w:noBreakHyphen/>
        <w:t>service networks. EIPIC constitutes a core node for community</w:t>
        <w:noBreakHyphen/>
        <w:t>based early intervention. Multiple Social</w:t>
        <w:noBreakHyphen/>
        <w:t>Service Agencies (SSAs) such as AWWA and Rainbow Centre deliver community rehabilitation, day</w:t>
        <w:noBreakHyphen/>
        <w:t>care and respite</w:t>
        <w:noBreakHyphen/>
        <w:t>care services.</w:t>
      </w:r>
    </w:p>
    <w:p>
      <w:pPr>
        <w:pStyle w:val="Normal"/>
        <w:rPr/>
      </w:pPr>
      <w:r>
        <w:rPr/>
        <w:t>Close partnerships connect schools and local communities. Disability support is embedded within community</w:t>
        <w:noBreakHyphen/>
        <w:t>family</w:t>
        <w:noBreakHyphen/>
        <w:t>service hubs, forming complete community</w:t>
        <w:noBreakHyphen/>
        <w:t>service chains extending from childhood through adolescence to adulthood (Goh &amp; Malik, 2024).</w:t>
      </w:r>
    </w:p>
    <w:p>
      <w:pPr>
        <w:pStyle w:val="3"/>
        <w:rPr/>
      </w:pPr>
      <w:r>
        <w:rPr/>
        <w:t>2.7 Family Support (Psychosocial Empowerment, Parent Training and Peer</w:t>
        <w:noBreakHyphen/>
        <w:t>Support Groups)</w:t>
      </w:r>
    </w:p>
    <w:p>
      <w:pPr>
        <w:pStyle w:val="4"/>
        <w:rPr/>
      </w:pPr>
      <w:r>
        <w:rPr/>
        <w:t>Brunei Darussalam</w:t>
      </w:r>
    </w:p>
    <w:p>
      <w:pPr>
        <w:pStyle w:val="Normal"/>
        <w:rPr/>
      </w:pPr>
      <w:r>
        <w:rPr>
          <w:b/>
          <w:bCs/>
        </w:rPr>
        <w:t>Cash</w:t>
        <w:noBreakHyphen/>
        <w:t>benefit provision</w:t>
      </w:r>
      <w:r>
        <w:rPr/>
        <w:t>: Monthly disability allowances are provided by the government for children with disabilities under age 15 (Borgen Project, 2026).</w:t>
      </w:r>
    </w:p>
    <w:p>
      <w:pPr>
        <w:pStyle w:val="Normal"/>
        <w:rPr/>
      </w:pPr>
      <w:r>
        <w:rPr>
          <w:b/>
          <w:bCs/>
        </w:rPr>
        <w:t>Limitations</w:t>
      </w:r>
      <w:r>
        <w:rPr/>
        <w:t>: Systematised government</w:t>
        <w:noBreakHyphen/>
        <w:t>run parent</w:t>
        <w:noBreakHyphen/>
        <w:t>training and parental</w:t>
        <w:noBreakHyphen/>
        <w:t>mental</w:t>
        <w:noBreakHyphen/>
        <w:t>health programmes are absent. Parental mutual</w:t>
        <w:noBreakHyphen/>
        <w:t>aid networks are chiefly NGO</w:t>
        <w:noBreakHyphen/>
        <w:t>driven. Empirical research by ERIC (2022) documents moderate</w:t>
        <w:noBreakHyphen/>
        <w:t>to</w:t>
        <w:noBreakHyphen/>
        <w:t>high stress levels among over 60 % of caregivers of children with special needs. Stigma persists within some households. Religious belief serves simultaneously as a psychological resource and a source of cognitive tension. No official respite</w:t>
        <w:noBreakHyphen/>
        <w:t>care services are available (ERIC Brunei, 2022; Siti et al., 2024).</w:t>
      </w:r>
    </w:p>
    <w:p>
      <w:pPr>
        <w:pStyle w:val="4"/>
        <w:rPr/>
      </w:pPr>
      <w:r>
        <w:rPr/>
        <w:t>Singapore</w:t>
      </w:r>
    </w:p>
    <w:p>
      <w:pPr>
        <w:pStyle w:val="Normal"/>
        <w:rPr/>
      </w:pPr>
      <w:r>
        <w:rPr>
          <w:b/>
          <w:bCs/>
        </w:rPr>
        <w:t>Financial subsidies</w:t>
      </w:r>
      <w:r>
        <w:rPr/>
        <w:t>: Tuition subsidies apply to EIPIC and SPED services; tax relief is available for families raising children with disabilities. Respite</w:t>
        <w:noBreakHyphen/>
        <w:t>care services are delivered by contracted SSAs.</w:t>
      </w:r>
    </w:p>
    <w:p>
      <w:pPr>
        <w:pStyle w:val="Normal"/>
        <w:rPr/>
      </w:pPr>
      <w:r>
        <w:rPr>
          <w:b/>
          <w:bCs/>
        </w:rPr>
        <w:t>Diversified psychological and peer</w:t>
        <w:noBreakHyphen/>
        <w:t>support resources</w:t>
      </w:r>
      <w:r>
        <w:rPr/>
        <w:t>: The Parent Peer Support Programme is piloted within SPED schools. Parent workshops, online resources and home</w:t>
        <w:noBreakHyphen/>
        <w:t>based guidance for families on waiting</w:t>
        <w:noBreakHyphen/>
        <w:t>lists are provided. Caregiver</w:t>
        <w:noBreakHyphen/>
        <w:t>mental</w:t>
        <w:noBreakHyphen/>
        <w:t>wellbeing is prioritised alongside children’s skill</w:t>
        <w:noBreakHyphen/>
        <w:t>building (MOE, 2026</w:t>
        <w:noBreakHyphen/>
        <w:t>03</w:t>
        <w:noBreakHyphen/>
        <w:t>03; Thye Hua Kwan Moral Charities, 2024).</w:t>
      </w:r>
    </w:p>
    <w:p>
      <w:pPr>
        <w:pStyle w:val="Normal"/>
        <w:rPr/>
      </w:pPr>
      <w:r>
        <w:rPr>
          <w:b/>
          <w:bCs/>
        </w:rPr>
        <w:t>Institutionalised</w:t>
        <w:noBreakHyphen/>
        <w:t>home</w:t>
        <w:noBreakHyphen/>
        <w:t>school collaboration</w:t>
      </w:r>
      <w:r>
        <w:rPr/>
        <w:t>: Parents are core participants in IEP formulation; schools are required to deliver regular progress updates rather than merely reporting behavioural concerns.</w:t>
      </w:r>
    </w:p>
    <w:p>
      <w:pPr>
        <w:pStyle w:val="3"/>
        <w:rPr/>
      </w:pPr>
      <w:r>
        <w:rPr/>
        <w:t>2.8 Healthcare Security</w:t>
      </w:r>
    </w:p>
    <w:p>
      <w:pPr>
        <w:pStyle w:val="4"/>
        <w:rPr/>
      </w:pPr>
      <w:r>
        <w:rPr/>
        <w:t>Brunei Darussalam</w:t>
      </w:r>
    </w:p>
    <w:p>
      <w:pPr>
        <w:pStyle w:val="Normal"/>
        <w:rPr/>
      </w:pPr>
      <w:r>
        <w:rPr>
          <w:b/>
          <w:bCs/>
        </w:rPr>
        <w:t>Universal public healthcare</w:t>
      </w:r>
      <w:r>
        <w:rPr/>
        <w:t>: Citizens and permanent residents access low</w:t>
        <w:noBreakHyphen/>
        <w:t>cost public medical services. Physiotherapy, occupational therapy and speech</w:t>
        <w:noBreakHyphen/>
        <w:t>language therapy are offered through RIPAS</w:t>
        <w:noBreakHyphen/>
        <w:t>Hospital</w:t>
        <w:noBreakHyphen/>
        <w:t>based CDC services. Nevertheless, therapists are concentrated in the capital and waiting</w:t>
        <w:noBreakHyphen/>
        <w:t>list durations are lengthy (Abang, 2023).</w:t>
      </w:r>
    </w:p>
    <w:p>
      <w:pPr>
        <w:pStyle w:val="Normal"/>
        <w:rPr/>
      </w:pPr>
      <w:r>
        <w:rPr>
          <w:b/>
          <w:bCs/>
        </w:rPr>
        <w:t>Limitations</w:t>
      </w:r>
      <w:r>
        <w:rPr/>
        <w:t>: Rehabilitation is largely hospital</w:t>
        <w:noBreakHyphen/>
        <w:t>outpatient</w:t>
        <w:noBreakHyphen/>
        <w:t>oriented. Home</w:t>
        <w:noBreakHyphen/>
        <w:t>based and community</w:t>
        <w:noBreakHyphen/>
        <w:t>outreach rehabilitation services are scarce. Some assistive devices require out</w:t>
        <w:noBreakHyphen/>
        <w:t>of</w:t>
        <w:noBreakHyphen/>
        <w:t>pocket payment. No regular joint</w:t>
        <w:noBreakHyphen/>
        <w:t>consultation clinics bridging medical and educational sectors have been institutionalised.</w:t>
      </w:r>
    </w:p>
    <w:p>
      <w:pPr>
        <w:pStyle w:val="4"/>
        <w:rPr/>
      </w:pPr>
      <w:r>
        <w:rPr/>
        <w:t>Singapore</w:t>
      </w:r>
    </w:p>
    <w:p>
      <w:pPr>
        <w:pStyle w:val="Normal"/>
        <w:rPr/>
      </w:pPr>
      <w:r>
        <w:rPr/>
        <w:t>Public</w:t>
        <w:noBreakHyphen/>
        <w:t xml:space="preserve"> and private</w:t>
        <w:noBreakHyphen/>
        <w:t>sector healthcare co</w:t>
        <w:noBreakHyphen/>
        <w:t>exist. Medical</w:t>
        <w:noBreakHyphen/>
        <w:t>insurance and government subsidies cover most costs associated with children’s rehabilitation assessments and therapies. Interventions including cochlear</w:t>
        <w:noBreakHyphen/>
        <w:t>implant surgery for newborns receive state funding support.</w:t>
      </w:r>
    </w:p>
    <w:p>
      <w:pPr>
        <w:pStyle w:val="Normal"/>
        <w:rPr/>
      </w:pPr>
      <w:r>
        <w:rPr/>
        <w:t>Referral pathways link medical and educational systems. Hospital</w:t>
        <w:noBreakHyphen/>
        <w:t>rehabilitation teams hold regular case conferences with EIPIC providers and schools. The REACH community</w:t>
        <w:noBreakHyphen/>
        <w:t>mental</w:t>
        <w:noBreakHyphen/>
        <w:t>health network addresses school</w:t>
        <w:noBreakHyphen/>
        <w:t>based psychological needs (MOE Singapore, 2026</w:t>
        <w:noBreakHyphen/>
        <w:t>02</w:t>
        <w:noBreakHyphen/>
        <w:t>03).</w:t>
      </w:r>
    </w:p>
    <w:p>
      <w:pPr>
        <w:pStyle w:val="3"/>
        <w:rPr/>
      </w:pPr>
      <w:r>
        <w:rPr/>
        <w:t>2.9 Educational</w:t>
        <w:noBreakHyphen/>
        <w:t>Teaching Practices and Teacher</w:t>
        <w:noBreakHyphen/>
        <w:t>Workforce Development</w:t>
      </w:r>
    </w:p>
    <w:p>
      <w:pPr>
        <w:pStyle w:val="4"/>
        <w:rPr/>
      </w:pPr>
      <w:r>
        <w:rPr/>
        <w:t>Brunei Darussalam</w:t>
      </w:r>
    </w:p>
    <w:p>
      <w:pPr>
        <w:pStyle w:val="Normal"/>
        <w:rPr/>
      </w:pPr>
      <w:r>
        <w:rPr/>
        <w:t>Inclusive</w:t>
        <w:noBreakHyphen/>
        <w:t>education modules are offered by BDTA. However, training reach remains limited. Many general</w:t>
        <w:noBreakHyphen/>
        <w:t>school teachers and Ugama</w:t>
        <w:noBreakHyphen/>
        <w:t>religious</w:t>
        <w:noBreakHyphen/>
        <w:t>school teachers receive only short introductory</w:t>
        <w:noBreakHyphen/>
        <w:t>level training. SENA special</w:t>
        <w:noBreakHyphen/>
        <w:t>education</w:t>
        <w:noBreakHyphen/>
        <w:t>assistant staffing quotas are constrained (Harun et al., 2025).</w:t>
      </w:r>
    </w:p>
    <w:p>
      <w:pPr>
        <w:pStyle w:val="Normal"/>
        <w:rPr/>
      </w:pPr>
      <w:r>
        <w:rPr>
          <w:b/>
          <w:bCs/>
        </w:rPr>
        <w:t>Pedagogical approaches</w:t>
      </w:r>
      <w:r>
        <w:rPr/>
        <w:t>: Differentiated instruction is promoted, yet Universal Design for Learning (UDL) has not been systematically rolled</w:t>
        <w:noBreakHyphen/>
        <w:t>out. Since IEPs are non</w:t>
        <w:noBreakHyphen/>
        <w:t>mandatory, implementation quality hinges on individual</w:t>
        <w:noBreakHyphen/>
        <w:t>school</w:t>
        <w:noBreakHyphen/>
        <w:t>principal awareness. Demonstration</w:t>
        <w:noBreakHyphen/>
        <w:t>school outcomes are favourable, yet substantial inter</w:t>
        <w:noBreakHyphen/>
        <w:t>school disparities persist.</w:t>
      </w:r>
    </w:p>
    <w:p>
      <w:pPr>
        <w:pStyle w:val="4"/>
        <w:rPr/>
      </w:pPr>
      <w:r>
        <w:rPr/>
        <w:t>Singapore</w:t>
      </w:r>
    </w:p>
    <w:p>
      <w:pPr>
        <w:pStyle w:val="Normal"/>
        <w:rPr/>
      </w:pPr>
      <w:r>
        <w:rPr/>
        <w:t>The National Institute of Education (NIE) expands enrolment quotas for special</w:t>
        <w:noBreakHyphen/>
        <w:t>education</w:t>
        <w:noBreakHyphen/>
        <w:t>qualification programmes to 180 places per annum starting in 2025. SEN Officer and Allied</w:t>
        <w:noBreakHyphen/>
        <w:t>Educator positions are stationed within mainstream schools. Special</w:t>
        <w:noBreakHyphen/>
        <w:t>Education</w:t>
        <w:noBreakHyphen/>
        <w:t>Teacher Communities of Practice (CoPs) facilitate cross</w:t>
        <w:noBreakHyphen/>
        <w:t>school sharing of intervention case studies (MOE, 2026</w:t>
        <w:noBreakHyphen/>
        <w:t>03</w:t>
        <w:noBreakHyphen/>
        <w:t>03; MOE, 2026</w:t>
        <w:noBreakHyphen/>
        <w:t>01</w:t>
        <w:noBreakHyphen/>
        <w:t>02).</w:t>
      </w:r>
    </w:p>
    <w:p>
      <w:pPr>
        <w:pStyle w:val="Normal"/>
        <w:rPr/>
      </w:pPr>
      <w:r>
        <w:rPr>
          <w:b/>
          <w:bCs/>
        </w:rPr>
        <w:t>Pedagogical practice</w:t>
      </w:r>
      <w:r>
        <w:rPr/>
        <w:t>: Mainstream schools implement UDL and tiered differentiated instruction. SPED schools combine national academic curricula with life</w:t>
        <w:noBreakHyphen/>
        <w:t>skill and pre</w:t>
        <w:noBreakHyphen/>
        <w:t>vocational coursework. A twinning</w:t>
        <w:noBreakHyphen/>
        <w:t>partnership scheme links mainstream and SPED schools to foster peer</w:t>
        <w:noBreakHyphen/>
        <w:t>interaction between general</w:t>
        <w:noBreakHyphen/>
        <w:t>education and special</w:t>
        <w:noBreakHyphen/>
        <w:t>needs pupils (MOE, 2025</w:t>
        <w:noBreakHyphen/>
        <w:t>11</w:t>
        <w:noBreakHyphen/>
        <w:t>18).</w:t>
      </w:r>
    </w:p>
    <w:p>
      <w:pPr>
        <w:pStyle w:val="3"/>
        <w:rPr/>
      </w:pPr>
      <w:r>
        <w:rPr/>
        <w:t>2.10 Employment Guidance and Support (School</w:t>
        <w:noBreakHyphen/>
        <w:t>to</w:t>
        <w:noBreakHyphen/>
        <w:t>Adulthood Transition)</w:t>
      </w:r>
    </w:p>
    <w:p>
      <w:pPr>
        <w:pStyle w:val="4"/>
        <w:rPr/>
      </w:pPr>
      <w:r>
        <w:rPr/>
        <w:t>Brunei Darussalam</w:t>
      </w:r>
    </w:p>
    <w:p>
      <w:pPr>
        <w:pStyle w:val="Normal"/>
        <w:rPr/>
      </w:pPr>
      <w:r>
        <w:rPr/>
        <w:t>While policy rhetoric endorses employment for persons with disabilities, no statutory provisions mandate reasonable workplace accommodation. Private</w:t>
        <w:noBreakHyphen/>
        <w:t>sector</w:t>
        <w:noBreakHyphen/>
        <w:t>employer receptiveness remains limited. Labour</w:t>
        <w:noBreakHyphen/>
        <w:t>force</w:t>
        <w:noBreakHyphen/>
        <w:t>participation rates for working</w:t>
        <w:noBreakHyphen/>
        <w:t>age persons with disabilities fall below 10 % (ExpatFocus, 2026).</w:t>
      </w:r>
    </w:p>
    <w:p>
      <w:pPr>
        <w:pStyle w:val="Normal"/>
        <w:rPr/>
      </w:pPr>
      <w:r>
        <w:rPr>
          <w:b/>
          <w:bCs/>
        </w:rPr>
        <w:t>School</w:t>
        <w:noBreakHyphen/>
        <w:t>sector provision</w:t>
      </w:r>
      <w:r>
        <w:rPr/>
        <w:t>: Some secondary schools deliver pre</w:t>
        <w:noBreakHyphen/>
        <w:t>vocational digital</w:t>
        <w:noBreakHyphen/>
        <w:t>skill coursework. Systematic in</w:t>
        <w:noBreakHyphen/>
        <w:t>school vocational assessment, internships and formal job</w:t>
        <w:noBreakHyphen/>
        <w:t>coach frameworks are absent. School</w:t>
        <w:noBreakHyphen/>
        <w:t>to</w:t>
        <w:noBreakHyphen/>
        <w:t>employment transition pathways are fractured, and outcomes largely depend on family</w:t>
        <w:noBreakHyphen/>
        <w:t>led arrangements (Borgen Project, 2026).</w:t>
      </w:r>
    </w:p>
    <w:p>
      <w:pPr>
        <w:pStyle w:val="4"/>
        <w:rPr/>
      </w:pPr>
      <w:r>
        <w:rPr/>
        <w:t>Singapore</w:t>
      </w:r>
    </w:p>
    <w:p>
      <w:pPr>
        <w:pStyle w:val="Normal"/>
        <w:rPr/>
      </w:pPr>
      <w:r>
        <w:rPr/>
        <w:t>SGEnable serves as the lead coordinating agency. The S2W School</w:t>
        <w:noBreakHyphen/>
        <w:t>to</w:t>
        <w:noBreakHyphen/>
        <w:t>Work programme and SGEnable Internship</w:t>
        <w:noBreakHyphen/>
        <w:t>and</w:t>
        <w:noBreakHyphen/>
        <w:t>Employment Schemes operate with dedicated job coaches to support workplace</w:t>
        <w:noBreakHyphen/>
        <w:t>onboarding for young persons with disabilities (MOE, 2025</w:t>
        <w:noBreakHyphen/>
        <w:t>11</w:t>
        <w:noBreakHyphen/>
        <w:t>18; MOE, 2026</w:t>
        <w:noBreakHyphen/>
        <w:t>01</w:t>
        <w:noBreakHyphen/>
        <w:t>02).</w:t>
      </w:r>
    </w:p>
    <w:p>
      <w:pPr>
        <w:pStyle w:val="Normal"/>
        <w:rPr/>
      </w:pPr>
      <w:r>
        <w:rPr>
          <w:b/>
          <w:bCs/>
        </w:rPr>
        <w:t>Incentive mechanisms</w:t>
      </w:r>
      <w:r>
        <w:rPr/>
        <w:t>: Government wage</w:t>
        <w:noBreakHyphen/>
        <w:t>subsidies reward enterprises hiring persons with disabilities alongside employer</w:t>
        <w:noBreakHyphen/>
        <w:t>awareness campaigns. Vocational assessments, on</w:t>
        <w:noBreakHyphen/>
        <w:t>campus simulated</w:t>
        <w:noBreakHyphen/>
        <w:t>work training and external internships commence during SPED secondary schooling. Challenges persist: employer prejudices remain, and employment prospects stay constrained for youth with moderate</w:t>
        <w:noBreakHyphen/>
        <w:t>to</w:t>
        <w:noBreakHyphen/>
        <w:t>severe disabilities (Manokara, 2024).</w:t>
      </w:r>
    </w:p>
    <w:p>
      <w:pPr>
        <w:pStyle w:val="3"/>
        <w:rPr/>
      </w:pPr>
      <w:r>
        <w:rPr/>
        <w:t>2.11 Technology Investment and Assistive</w:t>
        <w:noBreakHyphen/>
        <w:t>Technology Adoption</w:t>
      </w:r>
    </w:p>
    <w:p>
      <w:pPr>
        <w:pStyle w:val="4"/>
        <w:rPr/>
      </w:pPr>
      <w:r>
        <w:rPr/>
        <w:t>Brunei Darussalam</w:t>
      </w:r>
    </w:p>
    <w:p>
      <w:pPr>
        <w:pStyle w:val="Normal"/>
        <w:rPr/>
      </w:pPr>
      <w:r>
        <w:rPr/>
        <w:t>Public</w:t>
        <w:noBreakHyphen/>
        <w:t>health</w:t>
        <w:noBreakHyphen/>
        <w:t>services procure high</w:t>
        <w:noBreakHyphen/>
        <w:t>end medical</w:t>
        <w:noBreakHyphen/>
        <w:t>robotic surgical equipment; investment targeting special</w:t>
        <w:noBreakHyphen/>
        <w:t>education</w:t>
        <w:noBreakHyphen/>
        <w:t>related assistive</w:t>
        <w:noBreakHyphen/>
        <w:t>technologies remains limited (Ministry of Health Brunei, 2026).</w:t>
      </w:r>
    </w:p>
    <w:p>
      <w:pPr>
        <w:pStyle w:val="Normal"/>
        <w:rPr/>
      </w:pPr>
      <w:r>
        <w:rPr>
          <w:b/>
          <w:bCs/>
        </w:rPr>
        <w:t>Current realities</w:t>
      </w:r>
      <w:r>
        <w:rPr/>
        <w:t>: Applications for assistive devices are processed predominantly through hospital outpatient channels, with no unified subsidised</w:t>
        <w:noBreakHyphen/>
        <w:t>procurement system. School</w:t>
        <w:noBreakHyphen/>
        <w:t>based assistive</w:t>
        <w:noBreakHyphen/>
        <w:t>technology hardware is concentrated within a small subset of demonstration schools. Teachers lack systematic assistive</w:t>
        <w:noBreakHyphen/>
        <w:t>technology training, and digital</w:t>
        <w:noBreakHyphen/>
        <w:t>inclusive</w:t>
        <w:noBreakHyphen/>
        <w:t>learning initiatives remain in early developmental stages (ExpatFocus, 2026).</w:t>
      </w:r>
    </w:p>
    <w:p>
      <w:pPr>
        <w:pStyle w:val="4"/>
        <w:rPr/>
      </w:pPr>
      <w:r>
        <w:rPr/>
        <w:t>Singapore</w:t>
      </w:r>
    </w:p>
    <w:p>
      <w:pPr>
        <w:pStyle w:val="Normal"/>
        <w:rPr/>
      </w:pPr>
      <w:r>
        <w:rPr/>
        <w:t>Eligible citizen</w:t>
        <w:noBreakHyphen/>
        <w:t>students with hearing or visual impairments receive free assistive devices including hearing aids and screen</w:t>
        <w:noBreakHyphen/>
        <w:t>magnification hardware. Screen</w:t>
        <w:noBreakHyphen/>
        <w:t>reading and text</w:t>
        <w:noBreakHyphen/>
        <w:t>to</w:t>
        <w:noBreakHyphen/>
        <w:t>speech software are deployed in schools (MOE, 2026</w:t>
        <w:noBreakHyphen/>
        <w:t>01</w:t>
        <w:noBreakHyphen/>
        <w:t>16).</w:t>
      </w:r>
    </w:p>
    <w:p>
      <w:pPr>
        <w:pStyle w:val="Normal"/>
        <w:rPr/>
      </w:pPr>
      <w:r>
        <w:rPr>
          <w:b/>
          <w:bCs/>
        </w:rPr>
        <w:t>Empirically</w:t>
        <w:noBreakHyphen/>
        <w:t>documented limitations</w:t>
      </w:r>
      <w:r>
        <w:rPr/>
        <w:t>: Assistive</w:t>
        <w:noBreakHyphen/>
        <w:t>technology training for teachers remains insufficient. In many schools, assistive</w:t>
        <w:noBreakHyphen/>
        <w:t>technology implementation relies upon individual motivated educators. Uneven resource distribution across institutions persists (Chong &amp; Victor, 2024; Daud, 2023). Government agencies continue exploring digital</w:t>
        <w:noBreakHyphen/>
        <w:t>platform and AI</w:t>
        <w:noBreakHyphen/>
        <w:t>augmented</w:t>
        <w:noBreakHyphen/>
        <w:t>learning tools for SPED</w:t>
        <w:noBreakHyphen/>
        <w:t>school administration and instruction.</w:t>
      </w:r>
    </w:p>
    <w:p>
      <w:pPr>
        <w:pStyle w:val="2"/>
        <w:rPr/>
      </w:pPr>
      <w:r>
        <w:rPr/>
        <w:t>3. Integrated Discussion: Shared Challenges and Country</w:t>
        <w:noBreakHyphen/>
        <w:t>Specific Structural Dilemmas</w:t>
      </w:r>
    </w:p>
    <w:p>
      <w:pPr>
        <w:pStyle w:val="3"/>
        <w:rPr/>
      </w:pPr>
      <w:r>
        <w:rPr/>
        <w:t>3.1 Shared Challenges for Both Countries</w:t>
      </w:r>
    </w:p>
    <w:p>
      <w:pPr>
        <w:pStyle w:val="Normal"/>
        <w:rPr/>
      </w:pPr>
      <w:r>
        <w:rPr>
          <w:b/>
          <w:bCs/>
        </w:rPr>
        <w:t>Teacher</w:t>
        <w:noBreakHyphen/>
        <w:t>capacity constraints</w:t>
      </w:r>
      <w:r>
        <w:rPr/>
        <w:t>: Even within Singapore, front</w:t>
        <w:noBreakHyphen/>
        <w:t>line general</w:t>
        <w:noBreakHyphen/>
        <w:t>education teachers demonstrate gaps in training covering assistive</w:t>
        <w:noBreakHyphen/>
        <w:t>technology deployment, behavioural</w:t>
        <w:noBreakHyphen/>
        <w:t>intervention techniques and culturally</w:t>
        <w:noBreakHyphen/>
        <w:t>responsive practice. Brunei faces limited training outreach, with acute workforce shortages especially among Ugama</w:t>
        <w:noBreakHyphen/>
        <w:t>religious</w:t>
        <w:noBreakHyphen/>
        <w:t>school educators.</w:t>
      </w:r>
    </w:p>
    <w:p>
      <w:pPr>
        <w:pStyle w:val="Normal"/>
        <w:rPr/>
      </w:pPr>
      <w:r>
        <w:rPr>
          <w:b/>
          <w:bCs/>
        </w:rPr>
        <w:t>Implementation gaps for assistive</w:t>
        <w:noBreakHyphen/>
        <w:t>technology</w:t>
      </w:r>
      <w:r>
        <w:rPr/>
        <w:t>: Hardware procurement alone cannot guarantee service impact; insufficient teacher</w:t>
        <w:noBreakHyphen/>
        <w:t>competence, equipment</w:t>
        <w:noBreakHyphen/>
        <w:t>maintenance and individual</w:t>
        <w:noBreakHyphen/>
        <w:t>case adaptation frequently lead to under</w:t>
        <w:noBreakHyphen/>
        <w:t>utilisation of assistive</w:t>
        <w:noBreakHyphen/>
        <w:t>technology resources.</w:t>
      </w:r>
    </w:p>
    <w:p>
      <w:pPr>
        <w:pStyle w:val="Normal"/>
        <w:rPr/>
      </w:pPr>
      <w:r>
        <w:rPr>
          <w:b/>
          <w:bCs/>
        </w:rPr>
        <w:t>Employment barriers for youth with disabilities</w:t>
      </w:r>
      <w:r>
        <w:rPr/>
        <w:t>: High national income does not translate into high employment rates. Employer attitudes and formal reasonable</w:t>
        <w:noBreakHyphen/>
        <w:t>accommodation regulatory frameworks constitute common bottlenecks.</w:t>
      </w:r>
    </w:p>
    <w:p>
      <w:pPr>
        <w:pStyle w:val="Normal"/>
        <w:rPr/>
      </w:pPr>
      <w:r>
        <w:rPr>
          <w:b/>
          <w:bCs/>
        </w:rPr>
        <w:t>Psychological burdens on families</w:t>
      </w:r>
      <w:r>
        <w:rPr/>
        <w:t>: Caregivers of children with special needs experience widespread high</w:t>
        <w:noBreakHyphen/>
        <w:t>stress levels. Child</w:t>
        <w:noBreakHyphen/>
        <w:t>focused rehabilitation training alone cannot secure holistic service effectiveness (Mohd et al., 2024; ERIC Brunei, 2022).</w:t>
      </w:r>
    </w:p>
    <w:p>
      <w:pPr>
        <w:pStyle w:val="3"/>
        <w:rPr/>
      </w:pPr>
      <w:r>
        <w:rPr/>
        <w:t>3.2 Brunei</w:t>
        <w:noBreakHyphen/>
        <w:t>Specific Structural Dilemmas</w:t>
      </w:r>
    </w:p>
    <w:p>
      <w:pPr>
        <w:pStyle w:val="Normal"/>
        <w:rPr/>
      </w:pPr>
      <w:r>
        <w:rPr/>
        <w:t>The dual</w:t>
        <w:noBreakHyphen/>
        <w:t>track</w:t>
        <w:noBreakHyphen/>
        <w:t>administration</w:t>
        <w:noBreakHyphen/>
        <w:t>model separating the Ministry of Education and MoRA creates fragmentation: assessment, intervention and transition services for special</w:t>
        <w:noBreakHyphen/>
        <w:t>needs pupils cannot be synchronised across general</w:t>
        <w:noBreakHyphen/>
        <w:t>school and Ugama</w:t>
        <w:noBreakHyphen/>
        <w:t>religious</w:t>
        <w:noBreakHyphen/>
        <w:t>school settings, affecting large cohorts of Muslim children enrolled in both streams simultaneously (Harun et al., 2023).</w:t>
      </w:r>
    </w:p>
    <w:p>
      <w:pPr>
        <w:pStyle w:val="Normal"/>
        <w:rPr/>
      </w:pPr>
      <w:r>
        <w:rPr/>
        <w:t>Discrepancies exist between policy documents and grassroots implementation. While SPN21 policy and the Priority Levels assessment instrument are available, supporting mandatory regulatory provisions, standardised workflows and supervisory</w:t>
        <w:noBreakHyphen/>
        <w:t>evaluation mechanisms remain absent; IEPs retain advisory status only.</w:t>
      </w:r>
    </w:p>
    <w:p>
      <w:pPr>
        <w:pStyle w:val="Normal"/>
        <w:rPr/>
      </w:pPr>
      <w:r>
        <w:rPr/>
        <w:t>No national</w:t>
        <w:noBreakHyphen/>
        <w:t>level CBR system has been established. Services are geographically skewed toward the capital city, producing territorial inequities. Reliance on NGOs to fill service gaps raises sustainability concerns.</w:t>
      </w:r>
    </w:p>
    <w:p>
      <w:pPr>
        <w:pStyle w:val="3"/>
        <w:rPr/>
      </w:pPr>
      <w:r>
        <w:rPr/>
        <w:t>3.3 Singapore</w:t>
        <w:noBreakHyphen/>
        <w:t>Specific Dilemmas</w:t>
      </w:r>
    </w:p>
    <w:p>
      <w:pPr>
        <w:pStyle w:val="Normal"/>
        <w:rPr/>
      </w:pPr>
      <w:r>
        <w:rPr/>
        <w:t>Despite its sophisticated institutional architecture, comprehensive public EIPIC and SPED welfare entitlements primarily extend to citizens and permanent residents; international</w:t>
        <w:noBreakHyphen/>
        <w:t>student access to full service packages is restricted.</w:t>
      </w:r>
    </w:p>
    <w:p>
      <w:pPr>
        <w:pStyle w:val="Normal"/>
        <w:rPr/>
      </w:pPr>
      <w:r>
        <w:rPr/>
        <w:t>Growing SEN demand within mainstream schools creates sustained manpower pressures for SEN Officers. Practical limits persist concerning adequate support for pupils with moderate</w:t>
        <w:noBreakHyphen/>
        <w:t>to</w:t>
        <w:noBreakHyphen/>
        <w:t>severe needs within inclusive mainstream</w:t>
        <w:noBreakHyphen/>
        <w:t>classroom environments.</w:t>
      </w:r>
    </w:p>
    <w:p>
      <w:pPr>
        <w:pStyle w:val="2"/>
        <w:rPr/>
      </w:pPr>
      <w:r>
        <w:rPr/>
        <w:t xml:space="preserve">4. Regional Implications for ASEAN </w:t>
      </w:r>
    </w:p>
    <w:p>
      <w:pPr>
        <w:pStyle w:val="Normal"/>
        <w:rPr/>
      </w:pPr>
      <w:r>
        <w:rPr/>
        <w:t>Observations are presented as reference insights without evaluative judgements of other jurisdictions.</w:t>
      </w:r>
    </w:p>
    <w:p>
      <w:pPr>
        <w:pStyle w:val="Normal"/>
        <w:rPr/>
      </w:pPr>
      <w:r>
        <w:rPr/>
        <w:t>Policies on paper do not equate to real</w:t>
        <w:noBreakHyphen/>
        <w:t>world practice; assessment instruments must be paired with enforceable operational workflows. Brunei’s locally</w:t>
        <w:noBreakHyphen/>
        <w:t>developed Priority Levels assessment toolkit could be cautiously adapted for use within Ugama religious schools. Concise, practical inter</w:t>
        <w:noBreakHyphen/>
        <w:t>agency transition</w:t>
        <w:noBreakHyphen/>
        <w:t>operation guidelines should be developed, avoiding premature replication of Singapore’s highly centralised and complex institutional architecture.</w:t>
      </w:r>
    </w:p>
    <w:p>
      <w:pPr>
        <w:pStyle w:val="Normal"/>
        <w:rPr/>
      </w:pPr>
      <w:r>
        <w:rPr/>
        <w:t>CBR should be prioritised as a service</w:t>
        <w:noBreakHyphen/>
        <w:t>buffering layer. Singapore leverages EIPIC and Malaysia deploys PDK</w:t>
        <w:noBreakHyphen/>
        <w:t>run CBR networks to mitigate service vacuums during hospital</w:t>
        <w:noBreakHyphen/>
        <w:t>assessment waiting</w:t>
        <w:noBreakHyphen/>
        <w:t>lists. Drawing upon existing NGOs, local</w:t>
        <w:noBreakHyphen/>
        <w:t>community structures and mosque</w:t>
        <w:noBreakHyphen/>
        <w:t>based institutions, Brunei could build foundational national</w:t>
        <w:noBreakHyphen/>
        <w:t>level CBR frameworks rather than channelling all demand toward capital</w:t>
        <w:noBreakHyphen/>
        <w:t>city</w:t>
        <w:noBreakHyphen/>
        <w:t>based hospital services.</w:t>
      </w:r>
    </w:p>
    <w:p>
      <w:pPr>
        <w:pStyle w:val="Normal"/>
        <w:rPr/>
      </w:pPr>
      <w:r>
        <w:rPr/>
        <w:t>Family</w:t>
        <w:noBreakHyphen/>
        <w:t>support programming must transcend mere skill</w:t>
        <w:noBreakHyphen/>
        <w:t>training for children and incorporate caregiver</w:t>
        <w:noBreakHyphen/>
        <w:t>psychological</w:t>
        <w:noBreakHyphen/>
        <w:t>wellbeing objectives. Singapore’s pilot parent</w:t>
        <w:noBreakHyphen/>
        <w:t>peer</w:t>
        <w:noBreakHyphen/>
        <w:t>support models offer transferable learnings. Within Brunei’s MIB cultural context, religious</w:t>
        <w:noBreakHyphen/>
        <w:t>community stakeholders may be mobilised to deliver parental</w:t>
        <w:noBreakHyphen/>
        <w:t>public</w:t>
        <w:noBreakHyphen/>
        <w:t>education and emotional</w:t>
        <w:noBreakHyphen/>
        <w:t>support activities.</w:t>
      </w:r>
    </w:p>
    <w:p>
      <w:pPr>
        <w:pStyle w:val="Normal"/>
        <w:rPr/>
      </w:pPr>
      <w:r>
        <w:rPr/>
        <w:t>Nations operating parallel multi</w:t>
        <w:noBreakHyphen/>
        <w:t>stream education</w:t>
        <w:noBreakHyphen/>
        <w:t>administrative systems should institute regular inter</w:t>
        <w:noBreakHyphen/>
        <w:t>ministerial consultation mechanisms. Sustained dialogue between Brunei’s Ministry of Education and MoRA is required to resolve service fragmentation affecting children attending both general and Ugama religious schools.</w:t>
      </w:r>
    </w:p>
    <w:p>
      <w:pPr>
        <w:pStyle w:val="Normal"/>
        <w:rPr/>
      </w:pPr>
      <w:r>
        <w:rPr/>
        <w:t>Assistive</w:t>
        <w:noBreakHyphen/>
        <w:t>technology investment strategies should prioritise teacher</w:t>
        <w:noBreakHyphen/>
        <w:t>training and individual</w:t>
        <w:noBreakHyphen/>
        <w:t>user</w:t>
        <w:noBreakHyphen/>
        <w:t>adaptation assessments alongside hardware procurement; otherwise purchased equipment risks disuse.</w:t>
      </w:r>
    </w:p>
    <w:p>
      <w:pPr>
        <w:pStyle w:val="Normal"/>
        <w:rPr/>
      </w:pPr>
      <w:r>
        <w:rPr/>
        <w:t>Transition</w:t>
        <w:noBreakHyphen/>
        <w:t>planning must extend beyond childhood education into adult</w:t>
        <w:noBreakHyphen/>
        <w:t>employment outcomes. Vocational assessments, internship placements and formal job</w:t>
        <w:noBreakHyphen/>
        <w:t>coach systems should be introduced as early as secondary</w:t>
        <w:noBreakHyphen/>
        <w:t>school</w:t>
        <w:noBreakHyphen/>
        <w:t>level education.</w:t>
      </w:r>
    </w:p>
    <w:p>
      <w:pPr>
        <w:pStyle w:val="2"/>
        <w:rPr/>
      </w:pPr>
      <w:r>
        <w:rPr/>
        <w:t>5. Conclusion</w:t>
      </w:r>
    </w:p>
    <w:p>
      <w:pPr>
        <w:pStyle w:val="Normal"/>
        <w:rPr/>
      </w:pPr>
      <w:r>
        <w:rPr/>
        <w:t>Leveraging its advantages as a centralised city</w:t>
        <w:noBreakHyphen/>
        <w:t>state, Singapore has constructed a closed</w:t>
        <w:noBreakHyphen/>
        <w:t>loop multi</w:t>
        <w:noBreakHyphen/>
        <w:t>agency collaborative inclusive</w:t>
        <w:noBreakHyphen/>
        <w:t>rehabilitation service continuum spanning newborn screening, early</w:t>
        <w:noBreakHyphen/>
        <w:t>intervention, school</w:t>
        <w:noBreakHyphen/>
        <w:t>based support, community</w:t>
        <w:noBreakHyphen/>
        <w:t>services and employment transition. Nonetheless, constraints including workforce pressures and restricted entitlements for international students persist. Brunei benefits from generous social</w:t>
        <w:noBreakHyphen/>
        <w:t>welfare provisions and an MIB national ethos prioritising vulnerable</w:t>
        <w:noBreakHyphen/>
        <w:t>group support; it has promulgated inclusive</w:t>
        <w:noBreakHyphen/>
        <w:t>education policies and developed the Priority Levels assessment instrument. Critical gaps remain, however: standardised cross</w:t>
        <w:noBreakHyphen/>
        <w:t>departmental transition protocols and national CBR frameworks are lacking. Fragmentation stemming from its dual</w:t>
        <w:noBreakHyphen/>
        <w:t>track general</w:t>
        <w:noBreakHyphen/>
        <w:t>and</w:t>
        <w:noBreakHyphen/>
        <w:t>religious</w:t>
        <w:noBreakHyphen/>
        <w:t>school administrative system, combined with geographically skewed resource distribution, undermines service delivery for children with special needs.</w:t>
      </w:r>
    </w:p>
    <w:p>
      <w:pPr>
        <w:pStyle w:val="Normal"/>
        <w:rPr/>
      </w:pPr>
      <w:r>
        <w:rPr/>
        <w:t>For ASEAN</w:t>
        <w:noBreakHyphen/>
        <w:t>member states, superficial transplantation of policy texts or hardware</w:t>
        <w:noBreakHyphen/>
        <w:t>oriented investment delivers limited impact. Effective reform requires attention to end</w:t>
        <w:noBreakHyphen/>
        <w:t>to</w:t>
        <w:noBreakHyphen/>
        <w:t>end screening</w:t>
        <w:noBreakHyphen/>
        <w:t>assessment</w:t>
        <w:noBreakHyphen/>
        <w:t>intervention</w:t>
        <w:noBreakHyphen/>
        <w:t>transition workflows, complementary family</w:t>
        <w:noBreakHyphen/>
        <w:t>mental</w:t>
        <w:noBreakHyphen/>
        <w:t>health support, sustained teacher</w:t>
        <w:noBreakHyphen/>
        <w:t>workforce capacity</w:t>
        <w:noBreakHyphen/>
        <w:t>building and assistive</w:t>
        <w:noBreakHyphen/>
        <w:t>technology</w:t>
        <w:noBreakHyphen/>
        <w:t>competence development, all while respecting indigenous socio</w:t>
        <w:noBreakHyphen/>
        <w:t>religious</w:t>
        <w:noBreakHyphen/>
        <w:t>cultural realities. Future local Brunei</w:t>
        <w:noBreakHyphen/>
        <w:t>based empirical research might usefully investigate lived experiences of children with special needs within Ugama religious</w:t>
        <w:noBreakHyphen/>
        <w:t>school settings and family</w:t>
        <w:noBreakHyphen/>
        <w:t>perceived barriers to transition</w:t>
        <w:noBreakHyphen/>
        <w:t>service access.</w:t>
      </w:r>
    </w:p>
    <w:p>
      <w:pPr>
        <w:pStyle w:val="2"/>
        <w:rPr/>
      </w:pPr>
      <w:r>
        <w:rPr/>
        <w:t>References</w:t>
      </w:r>
    </w:p>
    <w:p>
      <w:pPr>
        <w:pStyle w:val="Normal"/>
        <w:rPr/>
      </w:pPr>
      <w:r>
        <w:rPr/>
        <w:t xml:space="preserve">Abang, D. (2023). </w:t>
      </w:r>
      <w:r>
        <w:rPr>
          <w:i/>
          <w:iCs/>
        </w:rPr>
        <w:t>Healthcare for persons with disabilities in Brunei Darussalam</w:t>
      </w:r>
      <w:r>
        <w:rPr/>
        <w:t>. BAKTI</w:t>
        <w:noBreakHyphen/>
        <w:t>MIND Conference Paper.</w:t>
      </w:r>
    </w:p>
    <w:p>
      <w:pPr>
        <w:pStyle w:val="Normal"/>
        <w:rPr/>
      </w:pPr>
      <w:r>
        <w:rPr/>
        <w:t xml:space="preserve">ASEAN Secretariat. (2023). </w:t>
      </w:r>
      <w:r>
        <w:rPr>
          <w:i/>
          <w:iCs/>
        </w:rPr>
        <w:t>ASEAN Enabling Masterplan 2025: Mainstreaming the Rights of Persons with Disabilities</w:t>
      </w:r>
      <w:r>
        <w:rPr/>
        <w:t>. ASEAN Publication.</w:t>
      </w:r>
    </w:p>
    <w:p>
      <w:pPr>
        <w:pStyle w:val="Normal"/>
        <w:rPr/>
      </w:pPr>
      <w:r>
        <w:rPr/>
        <w:t xml:space="preserve">Borgen Project. (2026). </w:t>
      </w:r>
      <w:r>
        <w:rPr>
          <w:i/>
          <w:iCs/>
        </w:rPr>
        <w:t>Disability and inclusive development in Brunei Darussalam</w:t>
      </w:r>
      <w:r>
        <w:rPr/>
        <w:t>. Borgen Project Research Brief.</w:t>
      </w:r>
    </w:p>
    <w:p>
      <w:pPr>
        <w:pStyle w:val="Normal"/>
        <w:rPr/>
      </w:pPr>
      <w:r>
        <w:rPr/>
        <w:t xml:space="preserve">Chong, T., &amp; Victor, I. (2024). The history and plausible future of assistive technology and what it might mean for Singapore students with disabilities. </w:t>
      </w:r>
      <w:r>
        <w:rPr>
          <w:i/>
          <w:iCs/>
        </w:rPr>
        <w:t>Proceedings of ICDLSE 2024</w:t>
      </w:r>
      <w:r>
        <w:rPr/>
        <w:t>.</w:t>
      </w:r>
    </w:p>
    <w:p>
      <w:pPr>
        <w:pStyle w:val="Normal"/>
        <w:rPr/>
      </w:pPr>
      <w:r>
        <w:rPr/>
        <w:t xml:space="preserve">ECDA. (2025). </w:t>
      </w:r>
      <w:r>
        <w:rPr>
          <w:i/>
          <w:iCs/>
        </w:rPr>
        <w:t>Supporting all children: The power of inclusive practices</w:t>
      </w:r>
      <w:r>
        <w:rPr/>
        <w:t>. Early Childhood Development Agency Singapore.</w:t>
      </w:r>
    </w:p>
    <w:p>
      <w:pPr>
        <w:pStyle w:val="Normal"/>
        <w:rPr/>
      </w:pPr>
      <w:r>
        <w:rPr/>
        <w:t xml:space="preserve">ERIC Brunei. (2022). </w:t>
      </w:r>
      <w:r>
        <w:rPr>
          <w:i/>
          <w:iCs/>
        </w:rPr>
        <w:t>Psychosocial experiences among caregivers of autistic children in Brunei Darussalam</w:t>
      </w:r>
      <w:r>
        <w:rPr/>
        <w:t>. University Brunei Darussalam Research Report.</w:t>
      </w:r>
    </w:p>
    <w:p>
      <w:pPr>
        <w:pStyle w:val="Normal"/>
        <w:rPr/>
      </w:pPr>
      <w:r>
        <w:rPr/>
        <w:t xml:space="preserve">Expat Focus. (2026). </w:t>
      </w:r>
      <w:r>
        <w:rPr>
          <w:i/>
          <w:iCs/>
        </w:rPr>
        <w:t>Brunei disability support and inclusion overview</w:t>
      </w:r>
      <w:r>
        <w:rPr/>
        <w:t>. Expat Focus Country Report.</w:t>
      </w:r>
    </w:p>
    <w:p>
      <w:pPr>
        <w:pStyle w:val="Normal"/>
        <w:rPr/>
      </w:pPr>
      <w:r>
        <w:rPr/>
        <w:t xml:space="preserve">Goh, A., &amp; Malik, N. (2024). Stakeholders’ involvement in the transition to adulthood for youth with disabilities in Singapore. In </w:t>
      </w:r>
      <w:r>
        <w:rPr>
          <w:i/>
          <w:iCs/>
        </w:rPr>
        <w:t>Special Needs in Singapore</w:t>
      </w:r>
      <w:r>
        <w:rPr/>
        <w:t>. World Scientific.</w:t>
      </w:r>
    </w:p>
    <w:p>
      <w:pPr>
        <w:pStyle w:val="Normal"/>
        <w:rPr/>
      </w:pPr>
      <w:r>
        <w:rPr/>
        <w:t xml:space="preserve">Harun, N., Mat Zin, H., &amp; Ong, L. (2023). Leading inclusive education initiatives: Comparative insights from Malaysia, Lao PDR and Brunei Darussalam. </w:t>
      </w:r>
      <w:r>
        <w:rPr>
          <w:i/>
          <w:iCs/>
        </w:rPr>
        <w:t>International Journal of Inclusive Education</w:t>
      </w:r>
      <w:r>
        <w:rPr/>
        <w:t>, 29(8), 987</w:t>
        <w:noBreakHyphen/>
        <w:t>1004.</w:t>
      </w:r>
    </w:p>
    <w:p>
      <w:pPr>
        <w:pStyle w:val="Normal"/>
        <w:rPr/>
      </w:pPr>
      <w:r>
        <w:rPr/>
        <w:t>Hjh Noraini, H. (2024). Exploring priority</w:t>
        <w:noBreakHyphen/>
        <w:t xml:space="preserve">level support instrument for students with special needs in Brunei government primary schools. </w:t>
      </w:r>
      <w:r>
        <w:rPr>
          <w:i/>
          <w:iCs/>
        </w:rPr>
        <w:t>Brunei Journal of Education</w:t>
      </w:r>
      <w:r>
        <w:rPr/>
        <w:t>, 11(1), 22</w:t>
        <w:noBreakHyphen/>
        <w:t>36.</w:t>
      </w:r>
    </w:p>
    <w:p>
      <w:pPr>
        <w:pStyle w:val="Normal"/>
        <w:rPr/>
      </w:pPr>
      <w:r>
        <w:rPr/>
        <w:t xml:space="preserve">Koay, T. L., &amp; Lim, L. J. C. (2025). State of the practice review of early intervention programmes in Brunei Darussalam. </w:t>
      </w:r>
      <w:r>
        <w:rPr>
          <w:i/>
          <w:iCs/>
        </w:rPr>
        <w:t>Journal of Southeast Asian Special Needs Education</w:t>
      </w:r>
      <w:r>
        <w:rPr/>
        <w:t>, 10(1), 1</w:t>
        <w:noBreakHyphen/>
        <w:t>18.</w:t>
      </w:r>
    </w:p>
    <w:p>
      <w:pPr>
        <w:pStyle w:val="Normal"/>
        <w:rPr/>
      </w:pPr>
      <w:r>
        <w:rPr/>
        <w:t>Learning Ladders Society. (2024). Developing local ABA expertise in Brunei: Five</w:t>
        <w:noBreakHyphen/>
        <w:t>year service review. Conference proceeding.</w:t>
      </w:r>
    </w:p>
    <w:p>
      <w:pPr>
        <w:pStyle w:val="Normal"/>
        <w:rPr/>
      </w:pPr>
      <w:r>
        <w:rPr/>
        <w:t xml:space="preserve">Manokara, V. (2024). Disability and employment: Confronting challenges in contemporary Singapore. In </w:t>
      </w:r>
      <w:r>
        <w:rPr>
          <w:i/>
          <w:iCs/>
        </w:rPr>
        <w:t>Special Needs in Singapore</w:t>
      </w:r>
      <w:r>
        <w:rPr/>
        <w:t>. World Scientific.</w:t>
      </w:r>
    </w:p>
    <w:p>
      <w:pPr>
        <w:pStyle w:val="Normal"/>
        <w:rPr/>
      </w:pPr>
      <w:r>
        <w:rPr/>
        <w:t xml:space="preserve">Ministry of Education Brunei Darussalam. (2009). </w:t>
      </w:r>
      <w:r>
        <w:rPr>
          <w:i/>
          <w:iCs/>
        </w:rPr>
        <w:t>SPN21 National Education System for the 21st Century</w:t>
      </w:r>
      <w:r>
        <w:rPr/>
        <w:t>. Policy Document.</w:t>
      </w:r>
    </w:p>
    <w:p>
      <w:pPr>
        <w:pStyle w:val="Normal"/>
        <w:rPr/>
      </w:pPr>
      <w:r>
        <w:rPr/>
        <w:t>Ministry of Education Singapore. (2024). Parliamentary reply: Graduation age for SPED schools. MOE Government of Singapore.</w:t>
      </w:r>
    </w:p>
    <w:p>
      <w:pPr>
        <w:pStyle w:val="Normal"/>
        <w:rPr/>
      </w:pPr>
      <w:r>
        <w:rPr/>
        <w:t>Ministry of Education Singapore. (2026</w:t>
        <w:noBreakHyphen/>
        <w:t>02</w:t>
        <w:noBreakHyphen/>
        <w:t xml:space="preserve">03). </w:t>
      </w:r>
      <w:r>
        <w:rPr>
          <w:i/>
          <w:iCs/>
        </w:rPr>
        <w:t>Stages when students in mainstream schools are assessed for special educational needs</w:t>
      </w:r>
      <w:r>
        <w:rPr/>
        <w:t>. Parliamentary Reply.</w:t>
      </w:r>
    </w:p>
    <w:p>
      <w:pPr>
        <w:pStyle w:val="Normal"/>
        <w:rPr/>
      </w:pPr>
      <w:r>
        <w:rPr/>
        <w:t>Ministry of Education Singapore. (2026</w:t>
        <w:noBreakHyphen/>
        <w:t>03</w:t>
        <w:noBreakHyphen/>
        <w:t xml:space="preserve">03). </w:t>
      </w:r>
      <w:r>
        <w:rPr>
          <w:i/>
          <w:iCs/>
        </w:rPr>
        <w:t>Committee of supply debate speech: Special education manpower and parent peer</w:t>
        <w:noBreakHyphen/>
        <w:t>support programme</w:t>
      </w:r>
      <w:r>
        <w:rPr/>
        <w:t>.</w:t>
      </w:r>
    </w:p>
    <w:p>
      <w:pPr>
        <w:pStyle w:val="Normal"/>
        <w:rPr/>
      </w:pPr>
      <w:r>
        <w:rPr/>
        <w:t xml:space="preserve">Ministry of Health Brunei Darussalam. (2026). </w:t>
      </w:r>
      <w:r>
        <w:rPr>
          <w:i/>
          <w:iCs/>
        </w:rPr>
        <w:t>RIPAS hospital marks milestone with robotic</w:t>
        <w:noBreakHyphen/>
        <w:t>assisted knee replacement surgery</w:t>
      </w:r>
      <w:r>
        <w:rPr/>
        <w:t>. Official news release.</w:t>
      </w:r>
    </w:p>
    <w:p>
      <w:pPr>
        <w:pStyle w:val="Normal"/>
        <w:rPr/>
      </w:pPr>
      <w:r>
        <w:rPr/>
        <w:t>Mohd, S., Jusoh, M., &amp; Rahman, A. (2024). The strain among caregivers of children with disabilities at community</w:t>
        <w:noBreakHyphen/>
        <w:t xml:space="preserve">based rehabilitation centres in Kudat, Sabah, Malaysia. </w:t>
      </w:r>
      <w:r>
        <w:rPr>
          <w:i/>
          <w:iCs/>
        </w:rPr>
        <w:t>Medical Journal of Malaysia</w:t>
      </w:r>
      <w:r>
        <w:rPr/>
        <w:t>, 79(Supp 1), 11</w:t>
        <w:noBreakHyphen/>
        <w:t>21.</w:t>
      </w:r>
    </w:p>
    <w:p>
      <w:pPr>
        <w:pStyle w:val="Normal"/>
        <w:rPr/>
      </w:pPr>
      <w:r>
        <w:rPr/>
        <w:t xml:space="preserve">Ng, S. H., &amp; Tan, L. S. (2025). Transition experiences of children with SEN from early intervention to mainstream primary schools in Singapore. </w:t>
      </w:r>
      <w:r>
        <w:rPr>
          <w:i/>
          <w:iCs/>
        </w:rPr>
        <w:t>Asia</w:t>
        <w:noBreakHyphen/>
        <w:t>Pacific Journal of Inclusive Education</w:t>
      </w:r>
      <w:r>
        <w:rPr/>
        <w:t>, 17(2), 77</w:t>
        <w:noBreakHyphen/>
        <w:t>92.</w:t>
      </w:r>
    </w:p>
    <w:p>
      <w:pPr>
        <w:pStyle w:val="Normal"/>
        <w:rPr/>
      </w:pPr>
      <w:r>
        <w:rPr/>
        <w:t xml:space="preserve">Othman, N. (2023). Inclusive education and community rehabilitation in Brunei Darussalam: Current challenges. </w:t>
      </w:r>
      <w:r>
        <w:rPr>
          <w:i/>
          <w:iCs/>
        </w:rPr>
        <w:t>Journal of Southeast Asian Special Needs Education</w:t>
      </w:r>
      <w:r>
        <w:rPr/>
        <w:t>, 8(1), 45</w:t>
        <w:noBreakHyphen/>
        <w:t>58.</w:t>
      </w:r>
    </w:p>
    <w:p>
      <w:pPr>
        <w:pStyle w:val="Normal"/>
        <w:rPr/>
      </w:pPr>
      <w:r>
        <w:rPr/>
        <w:t xml:space="preserve">PMC. (2022). Current status of the early childhood developmental intervention ecosystem in Singapore. </w:t>
      </w:r>
      <w:r>
        <w:rPr>
          <w:i/>
          <w:iCs/>
        </w:rPr>
        <w:t>PMC Public Library of Science</w:t>
      </w:r>
      <w:r>
        <w:rPr/>
        <w:t>.</w:t>
      </w:r>
    </w:p>
    <w:p>
      <w:pPr>
        <w:pStyle w:val="Normal"/>
        <w:rPr/>
      </w:pPr>
      <w:r>
        <w:rPr/>
        <w:t>Siti, A., Mohd, R., &amp; Fatimah, S. (2024). Cultural consideration in community</w:t>
        <w:noBreakHyphen/>
        <w:t>based rehabilitation among Malay</w:t>
        <w:noBreakHyphen/>
        <w:t xml:space="preserve">Muslim families. </w:t>
      </w:r>
      <w:r>
        <w:rPr>
          <w:i/>
          <w:iCs/>
        </w:rPr>
        <w:t>Malaysian Journal of Special Education</w:t>
      </w:r>
      <w:r>
        <w:rPr/>
        <w:t>, 16(2), 11</w:t>
        <w:noBreakHyphen/>
        <w:t>24.</w:t>
      </w:r>
    </w:p>
    <w:p>
      <w:pPr>
        <w:pStyle w:val="Normal"/>
        <w:rPr/>
      </w:pPr>
      <w:r>
        <w:rPr/>
        <w:t xml:space="preserve">Thye Hua Kwan Moral Charities. (2024). </w:t>
      </w:r>
      <w:r>
        <w:rPr>
          <w:i/>
          <w:iCs/>
        </w:rPr>
        <w:t>Early</w:t>
        <w:noBreakHyphen/>
        <w:t>intervention waiting</w:t>
        <w:noBreakHyphen/>
        <w:t>list parent guidance programme project brief</w:t>
      </w:r>
      <w:r>
        <w:rPr/>
        <w:t>.</w:t>
      </w:r>
    </w:p>
    <w:p>
      <w:pPr>
        <w:pStyle w:val="Normal"/>
        <w:rPr/>
      </w:pPr>
      <w:r>
        <w:rPr/>
        <w:t xml:space="preserve">United Nations. (2006). </w:t>
      </w:r>
      <w:r>
        <w:rPr>
          <w:i/>
          <w:iCs/>
        </w:rPr>
        <w:t>Convention on the rights of persons with disabilities</w:t>
      </w:r>
      <w:r>
        <w:rPr/>
        <w:t>. New York: United Nations.</w:t>
      </w:r>
    </w:p>
    <w:p>
      <w:pPr>
        <w:pStyle w:val="Normal"/>
        <w:rPr/>
      </w:pPr>
      <w:r>
        <w:rPr/>
        <w:t xml:space="preserve">World Health Organization [WHO]. (2022). </w:t>
      </w:r>
      <w:r>
        <w:rPr>
          <w:i/>
          <w:iCs/>
        </w:rPr>
        <w:t>Community</w:t>
        <w:noBreakHyphen/>
        <w:t>based rehabilitation: Guidelines for implementation</w:t>
      </w:r>
      <w:r>
        <w:rPr/>
        <w:t>. Geneva: WHO Press.</w:t>
      </w:r>
    </w:p>
    <w:p>
      <w:pPr>
        <w:pStyle w:val="Normal"/>
        <w:rPr/>
      </w:pPr>
      <w:r>
        <w:rPr/>
        <w:t>Yusoff, M., Ali, H., &amp; Ahmad, Z. (2022). Engaging religious</w:t>
        <w:noBreakHyphen/>
        <w:t xml:space="preserve">based organisations in CBR practice in Malaysia. </w:t>
      </w:r>
      <w:r>
        <w:rPr>
          <w:i/>
          <w:iCs/>
        </w:rPr>
        <w:t>ASEAN Rehabilitation Review</w:t>
      </w:r>
      <w:r>
        <w:rPr/>
        <w:t>, 4(1), 32</w:t>
        <w:noBreakHyphen/>
        <w:t>41.</w:t>
      </w:r>
    </w:p>
    <w:p>
      <w:pPr>
        <w:pStyle w:val="Normal"/>
        <w:rPr/>
      </w:pPr>
      <w:r>
        <w:rPr/>
      </w:r>
    </w:p>
    <w:sectPr>
      <w:type w:val="nextPage"/>
      <w:pgSz w:w="11906" w:h="16838"/>
      <w:pgMar w:left="1440" w:right="1440" w:gutter="0" w:header="0" w:top="1440" w:footer="0" w:bottom="1440"/>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Noto Sans Mono CJK SC">
    <w:charset w:val="01"/>
    <w:family w:val="roman"/>
    <w:pitch w:val="variable"/>
  </w:font>
  <w:font w:name="Times New Roman">
    <w:charset w:val="01"/>
    <w:family w:val="roman"/>
    <w:pitch w:val="variable"/>
  </w:font>
  <w:font w:name="Arial">
    <w:charset w:val="01"/>
    <w:family w:val="swiss"/>
    <w:pitch w:val="variable"/>
  </w:font>
  <w:font w:name="Noto Sans Mono CJK SC">
    <w:charset w:val="01"/>
    <w:family w:val="swiss"/>
    <w:pitch w:val="variable"/>
  </w:font>
</w:fonts>
</file>

<file path=word/settings.xml><?xml version="1.0" encoding="utf-8"?>
<w:settings xmlns:w="http://schemas.openxmlformats.org/wordprocessingml/2006/main">
  <w:zoom w:percent="100"/>
  <w:defaultTabStop w:val="720"/>
  <w:autoHyphenation w:val="true"/>
  <w:compat>
    <w:doNotExpandShiftReturn/>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oto Sans Mono CJK SC" w:cs="Noto Sans Mono CJK SC"/>
        <w:lang w:val="en-US" w:eastAsia="zh-CN" w:bidi="hi-IN"/>
      </w:rPr>
    </w:rPrDefault>
    <w:pPrDefault>
      <w:pPr>
        <w:suppressAutoHyphens w:val="true"/>
      </w:pPr>
    </w:pPrDefault>
  </w:docDefaults>
  <w:style w:type="paragraph" w:styleId="Normal">
    <w:name w:val="Normal"/>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1">
    <w:name w:val="Heading 1"/>
    <w:basedOn w:val="Style9"/>
    <w:qFormat/>
    <w:pPr>
      <w:spacing w:lineRule="auto" w:line="288" w:before="380" w:after="140"/>
      <w:ind w:left="0" w:hanging="0"/>
      <w:jc w:val="left"/>
      <w:outlineLvl w:val="0"/>
    </w:pPr>
    <w:rPr>
      <w:rFonts w:ascii="Arial" w:hAnsi="Arial" w:eastAsia="等线" w:cs="Arial"/>
      <w:b/>
      <w:bCs/>
      <w:sz w:val="36"/>
      <w:szCs w:val="36"/>
    </w:rPr>
  </w:style>
  <w:style w:type="paragraph" w:styleId="2">
    <w:name w:val="Heading 2"/>
    <w:basedOn w:val="Style9"/>
    <w:qFormat/>
    <w:pPr>
      <w:spacing w:lineRule="auto" w:line="288" w:before="320" w:after="120"/>
      <w:ind w:left="0" w:hanging="0"/>
      <w:jc w:val="left"/>
      <w:outlineLvl w:val="1"/>
    </w:pPr>
    <w:rPr>
      <w:rFonts w:ascii="Arial" w:hAnsi="Arial" w:eastAsia="等线" w:cs="Arial"/>
      <w:b/>
      <w:bCs/>
      <w:sz w:val="32"/>
      <w:szCs w:val="32"/>
    </w:rPr>
  </w:style>
  <w:style w:type="paragraph" w:styleId="3">
    <w:name w:val="Heading 3"/>
    <w:basedOn w:val="Style9"/>
    <w:qFormat/>
    <w:pPr>
      <w:spacing w:lineRule="auto" w:line="288" w:before="300" w:after="120"/>
      <w:ind w:left="0" w:hanging="0"/>
      <w:jc w:val="left"/>
      <w:outlineLvl w:val="2"/>
    </w:pPr>
    <w:rPr>
      <w:rFonts w:ascii="Arial" w:hAnsi="Arial" w:eastAsia="等线" w:cs="Arial"/>
      <w:b/>
      <w:bCs/>
      <w:sz w:val="30"/>
      <w:szCs w:val="30"/>
    </w:rPr>
  </w:style>
  <w:style w:type="paragraph" w:styleId="4">
    <w:name w:val="Heading 4"/>
    <w:basedOn w:val="Style9"/>
    <w:qFormat/>
    <w:pPr>
      <w:spacing w:lineRule="auto" w:line="288" w:before="260" w:after="120"/>
      <w:ind w:left="0" w:hanging="0"/>
      <w:jc w:val="left"/>
      <w:outlineLvl w:val="3"/>
    </w:pPr>
    <w:rPr>
      <w:rFonts w:ascii="Arial" w:hAnsi="Arial" w:eastAsia="等线" w:cs="Arial"/>
      <w:b/>
      <w:bCs/>
      <w:sz w:val="28"/>
      <w:szCs w:val="28"/>
    </w:rPr>
  </w:style>
  <w:style w:type="paragraph" w:styleId="5">
    <w:name w:val="Heading 5"/>
    <w:basedOn w:val="Style9"/>
    <w:qFormat/>
    <w:pPr>
      <w:spacing w:lineRule="auto" w:line="288" w:before="240" w:after="120"/>
      <w:ind w:left="0" w:hanging="0"/>
      <w:jc w:val="left"/>
      <w:outlineLvl w:val="4"/>
    </w:pPr>
    <w:rPr>
      <w:rFonts w:ascii="Arial" w:hAnsi="Arial" w:eastAsia="等线" w:cs="Arial"/>
      <w:b/>
      <w:bCs/>
      <w:sz w:val="24"/>
      <w:szCs w:val="24"/>
    </w:rPr>
  </w:style>
  <w:style w:type="paragraph" w:styleId="6">
    <w:name w:val="Heading 6"/>
    <w:basedOn w:val="Style9"/>
    <w:qFormat/>
    <w:pPr>
      <w:spacing w:lineRule="auto" w:line="288" w:before="240" w:after="120"/>
      <w:ind w:left="0" w:hanging="0"/>
      <w:jc w:val="left"/>
      <w:outlineLvl w:val="5"/>
    </w:pPr>
    <w:rPr>
      <w:rFonts w:ascii="Arial" w:hAnsi="Arial" w:eastAsia="等线" w:cs="Arial"/>
      <w:b/>
      <w:bCs/>
      <w:sz w:val="24"/>
      <w:szCs w:val="24"/>
    </w:rPr>
  </w:style>
  <w:style w:type="character" w:styleId="Internet">
    <w:name w:val="Internet 链接"/>
    <w:uiPriority w:val="99"/>
    <w:unhideWhenUsed/>
    <w:rPr>
      <w:color w:val="0563C1"/>
      <w:u w:val="single"/>
    </w:rPr>
  </w:style>
  <w:style w:type="character" w:styleId="Style8">
    <w:name w:val="脚注锚点"/>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paragraph" w:styleId="Style9">
    <w:name w:val="标题样式"/>
    <w:basedOn w:val="Normal"/>
    <w:next w:val="Style10"/>
    <w:qFormat/>
    <w:pPr>
      <w:keepNext w:val="true"/>
      <w:spacing w:before="240" w:after="120"/>
    </w:pPr>
    <w:rPr>
      <w:rFonts w:ascii="Noto Sans Mono CJK SC" w:hAnsi="Noto Sans Mono CJK SC" w:eastAsia="Noto Sans Mono CJK SC" w:cs="Noto Sans Mono CJK SC"/>
      <w:sz w:val="28"/>
      <w:szCs w:val="28"/>
    </w:rPr>
  </w:style>
  <w:style w:type="paragraph" w:styleId="Style10">
    <w:name w:val="Body Text"/>
    <w:basedOn w:val="Normal"/>
    <w:pPr>
      <w:spacing w:lineRule="auto" w:line="276" w:before="0" w:after="140"/>
    </w:pPr>
    <w:rPr/>
  </w:style>
  <w:style w:type="paragraph" w:styleId="Style11">
    <w:name w:val="List"/>
    <w:basedOn w:val="Style10"/>
    <w:pPr/>
    <w:rPr/>
  </w:style>
  <w:style w:type="paragraph" w:styleId="Style12">
    <w:name w:val="Caption"/>
    <w:basedOn w:val="Normal"/>
    <w:qFormat/>
    <w:pPr>
      <w:suppressLineNumbers/>
      <w:spacing w:before="120" w:after="120"/>
    </w:pPr>
    <w:rPr>
      <w:i/>
      <w:iCs/>
      <w:sz w:val="24"/>
      <w:szCs w:val="24"/>
    </w:rPr>
  </w:style>
  <w:style w:type="paragraph" w:styleId="Style13">
    <w:name w:val="索引"/>
    <w:basedOn w:val="Normal"/>
    <w:qFormat/>
    <w:pPr>
      <w:suppressLineNumbers/>
    </w:pPr>
    <w:rPr>
      <w:lang w:val="zxx" w:eastAsia="zxx" w:bidi="zxx"/>
    </w:rPr>
  </w:style>
  <w:style w:type="paragraph" w:styleId="Style14">
    <w:name w:val="Title"/>
    <w:basedOn w:val="Style9"/>
    <w:qFormat/>
    <w:pPr>
      <w:spacing w:lineRule="auto" w:line="288" w:before="480" w:after="480"/>
      <w:ind w:left="0" w:hanging="0"/>
    </w:pPr>
    <w:rPr>
      <w:rFonts w:ascii="Arial" w:hAnsi="Arial" w:eastAsia="等线" w:cs="Arial"/>
      <w:b/>
      <w:bCs/>
      <w:sz w:val="52"/>
      <w:szCs w:val="52"/>
    </w:rPr>
  </w:style>
  <w:style w:type="paragraph" w:styleId="Strong">
    <w:name w:val="Strong"/>
    <w:qFormat/>
    <w:pPr>
      <w:widowControl/>
      <w:bidi w:val="0"/>
      <w:spacing w:before="0" w:after="0"/>
      <w:jc w:val="left"/>
    </w:pPr>
    <w:rPr>
      <w:rFonts w:ascii="Times New Roman" w:hAnsi="Times New Roman" w:eastAsia="Noto Sans Mono CJK SC" w:cs="Noto Sans Mono CJK SC"/>
      <w:b/>
      <w:bCs/>
      <w:color w:val="auto"/>
      <w:kern w:val="0"/>
      <w:sz w:val="20"/>
      <w:szCs w:val="20"/>
      <w:lang w:val="en-US" w:eastAsia="zh-CN" w:bidi="hi-IN"/>
    </w:rPr>
  </w:style>
  <w:style w:type="paragraph" w:styleId="ListParagraph">
    <w:name w:val="List Paragraph"/>
    <w:qFormat/>
    <w:pPr>
      <w:widowControl/>
      <w:bidi w:val="0"/>
      <w:spacing w:before="0" w:after="0"/>
      <w:jc w:val="left"/>
    </w:pPr>
    <w:rPr>
      <w:rFonts w:ascii="Times New Roman" w:hAnsi="Times New Roman" w:eastAsia="Noto Sans Mono CJK SC" w:cs="Noto Sans Mono CJK SC"/>
      <w:color w:val="auto"/>
      <w:kern w:val="0"/>
      <w:sz w:val="20"/>
      <w:szCs w:val="20"/>
      <w:lang w:val="en-US" w:eastAsia="zh-CN" w:bidi="hi-IN"/>
    </w:rPr>
  </w:style>
  <w:style w:type="paragraph" w:styleId="Style15">
    <w:name w:val="Footnote Text"/>
    <w:basedOn w:val="Normal"/>
    <w:link w:val="FootnoteTextChar"/>
    <w:uiPriority w:val="99"/>
    <w:semiHidden/>
    <w:unhideWhenUsed/>
    <w:pPr>
      <w:spacing w:lineRule="auto" w:line="240" w:before="0" w:after="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1</TotalTime>
  <Application>LibreOfficeDev/7.3.1.3.0$Android_AARCH64 LibreOffice_project/</Application>
  <AppVersion>15.0000</AppVersion>
  <Pages>15</Pages>
  <Words>3811</Words>
  <Characters>28994</Characters>
  <CharactersWithSpaces>32654</CharactersWithSpaces>
  <Paragraphs>152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2026-09-14T11:42:53Z</dcterms:created>
  <dc:creator>Un-named</dc:creator>
  <dc:description/>
  <dc:language>zh-CN</dc:language>
  <cp:lastModifiedBy/>
  <dcterms:modified xsi:type="dcterms:W3CDTF">2026-09-14T19:46:01Z</dcterms:modified>
  <cp:revision>2</cp:revision>
  <dc:subject/>
  <dc:title/>
</cp:coreProperties>
</file>