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D15F00">
      <w:pPr>
        <w:pStyle w:val="3"/>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 xml:space="preserve">MSN1083 Group Written Report </w:t>
      </w:r>
    </w:p>
    <w:p w14:paraId="46B50F3C">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QUEST INTERNATIONAL UNIVERSITY FACULTY OF SOCIAL SCIENCES MASTER IN SPECIAL NEEDS EDUCATION (HONS) Module Code: MSN1083 Module Title: Effective Behaviour Management for Learners with Diverse Needs in Inclusive Education Semester: July 2026 Lecturer: Ms. Sharmila Devi Manogaran Group Assignment: Written Comparative Report (40% Coursework Weight) Group Members &amp; Matriculation Numbers:</w:t>
      </w:r>
    </w:p>
    <w:p w14:paraId="3F8ED872">
      <w:pPr>
        <w:keepNext w:val="0"/>
        <w:keepLines w:val="0"/>
        <w:widowControl/>
        <w:numPr>
          <w:ilvl w:val="0"/>
          <w:numId w:val="1"/>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Student 1 | Matric No.: XXXXX</w:t>
      </w:r>
    </w:p>
    <w:p w14:paraId="725F8118">
      <w:pPr>
        <w:keepNext w:val="0"/>
        <w:keepLines w:val="0"/>
        <w:widowControl/>
        <w:numPr>
          <w:ilvl w:val="0"/>
          <w:numId w:val="1"/>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Student 2 | Matric No.: XXXXX</w:t>
      </w:r>
    </w:p>
    <w:p w14:paraId="64320E7A">
      <w:pPr>
        <w:keepNext w:val="0"/>
        <w:keepLines w:val="0"/>
        <w:widowControl/>
        <w:numPr>
          <w:ilvl w:val="0"/>
          <w:numId w:val="1"/>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Student 3 | Matric No.: XXXXX Submission Deadline: 9 September 2026, 17:00</w:t>
      </w:r>
    </w:p>
    <w:p w14:paraId="2A75A1C6">
      <w:pPr>
        <w:pStyle w:val="3"/>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Table of Contents</w:t>
      </w:r>
    </w:p>
    <w:p w14:paraId="463B6048">
      <w:pPr>
        <w:keepNext w:val="0"/>
        <w:keepLines w:val="0"/>
        <w:widowControl/>
        <w:numPr>
          <w:ilvl w:val="0"/>
          <w:numId w:val="2"/>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Introduction .............................................................................. Page 1 (10% Weighting)</w:t>
      </w:r>
    </w:p>
    <w:p w14:paraId="619BA4A6">
      <w:pPr>
        <w:keepNext w:val="0"/>
        <w:keepLines w:val="0"/>
        <w:widowControl/>
        <w:numPr>
          <w:ilvl w:val="0"/>
          <w:numId w:val="2"/>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Learner Profile ........................................................................... Page 4 (10% Weighting)</w:t>
      </w:r>
    </w:p>
    <w:p w14:paraId="4B2AF224">
      <w:pPr>
        <w:keepNext w:val="0"/>
        <w:keepLines w:val="0"/>
        <w:widowControl/>
        <w:numPr>
          <w:ilvl w:val="0"/>
          <w:numId w:val="2"/>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Behaviour Analysis ................................................................... Page 7 (20% Weighting)</w:t>
      </w:r>
    </w:p>
    <w:p w14:paraId="2FD2AE9D">
      <w:pPr>
        <w:keepNext w:val="0"/>
        <w:keepLines w:val="0"/>
        <w:widowControl/>
        <w:numPr>
          <w:ilvl w:val="0"/>
          <w:numId w:val="2"/>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Functional Behaviour Assessment (FBA) ........................... Page 11 (25% Weighting)</w:t>
      </w:r>
    </w:p>
    <w:p w14:paraId="43BF46CB">
      <w:pPr>
        <w:keepNext w:val="0"/>
        <w:keepLines w:val="0"/>
        <w:widowControl/>
        <w:numPr>
          <w:ilvl w:val="0"/>
          <w:numId w:val="2"/>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Evaluation of Assessment Process &amp; Empirical Findings ............................... Page 16 (20% Weighting)</w:t>
      </w:r>
    </w:p>
    <w:p w14:paraId="7D730E09">
      <w:pPr>
        <w:keepNext w:val="0"/>
        <w:keepLines w:val="0"/>
        <w:widowControl/>
        <w:numPr>
          <w:ilvl w:val="0"/>
          <w:numId w:val="2"/>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Conclusion ................................................................................ Page 20 (5% Weighting)</w:t>
      </w:r>
    </w:p>
    <w:p w14:paraId="73DDD6A1">
      <w:pPr>
        <w:keepNext w:val="0"/>
        <w:keepLines w:val="0"/>
        <w:widowControl/>
        <w:numPr>
          <w:ilvl w:val="0"/>
          <w:numId w:val="2"/>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References (Minimum 20 Peer-Reviewed Journals, 2021–2026, APA 7th) ... Page 22 Appendices: ABC Observation Log, Full Marking Rubrics, Turnitin Similarity Report, Draft Behaviour Intervention Plan (BIP)</w:t>
      </w:r>
    </w:p>
    <w:p w14:paraId="295BF658">
      <w:pPr>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pict>
          <v:rect id="_x0000_i1025" o:spt="1" style="height:1.5pt;width:432pt;" fillcolor="#A0A0A0" filled="t" stroked="f" coordsize="21600,21600" o:hr="t" o:hrstd="t" o:hralign="center">
            <v:path/>
            <v:fill on="t" focussize="0,0"/>
            <v:stroke on="f"/>
            <v:imagedata o:title=""/>
            <o:lock v:ext="edit"/>
            <w10:wrap type="none"/>
            <w10:anchorlock/>
          </v:rect>
        </w:pict>
      </w:r>
    </w:p>
    <w:p w14:paraId="311BB3B3">
      <w:pPr>
        <w:pStyle w:val="3"/>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1. Introduction</w:t>
      </w:r>
    </w:p>
    <w:p w14:paraId="00D16D44">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Inclusive education stands as a globally endorsed pedagogical framework that integrates neurodivergent and disabled children within mainstream classroom environments alongside typically developing peers (UNESCO, 2022; Iaquinta et al., 2026). The core philosophy of inclusive practice extends beyond mere physical co-location of pupils; it prioritises equitable curriculum access, structured peer socialisation opportunities, and individualised learning support tailored to each learner’s unique developmental requirements (Golden et al., 2025). Nevertheless, the practical delivery of inclusive classrooms presents persistent pedagogical barriers for untrained general educators, the majorit</w:t>
      </w:r>
      <w:bookmarkStart w:id="0" w:name="_GoBack"/>
      <w:bookmarkEnd w:id="0"/>
      <w:r>
        <w:rPr>
          <w:rFonts w:hint="default" w:ascii="Times New Roman" w:hAnsi="Times New Roman" w:cs="Times New Roman"/>
          <w:sz w:val="24"/>
          <w:szCs w:val="24"/>
        </w:rPr>
        <w:t>y of whom receive minimal formal instruction on evidence-based behavioural evaluation and customised intervention design for neurodivergent learners (Lapidez, 2026; General Education Teachers’ Research Team, 2024). When teachers rely on punitive, reactive disciplinary tactics to address challenging conduct exhibited by autistic students, such surface-level interventions fail to resolve root developmental triggers and may exacerbate anxiety, social withdrawal and repeated disruptive episodes over extended classroom periods (Richter et al., 2026).</w:t>
      </w:r>
    </w:p>
    <w:p w14:paraId="15BA7B57">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Functional Behaviour Assessment (FBA) constitutes the foundational, evidence-centred alternative to traditional classroom discipline models. Distinct from superficial rule enforcement strategies, FBA adopts a person-centred analytical framework that explores contextual antecedents, immediate environmental consequences, and the underlying functional purpose of every observed challenging behaviour (MacDonald &amp; Ahearn, 2015; DeQuinzio et al., 2018). This methodological approach directly aligns with the two core module learning outcomes stipulated within the MSN1083 July 2026 assignment brief: CLO1 requires postgraduate learners to systematically examine neurodivergent pupils’ behavioural profiles through validated assessment tools, while CLO2 mandates critical evaluation of intervention efficacy via consistent classroom data collection and structured reflective practice (MSN1083 Assignment Brief, 2026).</w:t>
      </w:r>
    </w:p>
    <w:p w14:paraId="51A426D3">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This group report delivers a fully evidenced case study centred on Leo, a 12-year-old Year 7 mainstream learner diagnosed with Level 1 Autism Spectrum Disorder (ASD). The analysis sequentially establishes a holistic learner profile grounded in clinical, academic and classroom environmental context, followed by multi-layered behavioural interpretation supported by 20 contemporary peer-reviewed journal articles published between 2021 and 2026. A complete four-week simulated ABC-based FBA framework is presented, synthesising classroom observation logs, cross-stakeholder semi-structured interviews and archived special educational needs (SEN) documentation to deduce the core functions driving Leo’s classroom difficulties. Following FBA data interpretation, the paper outlines a multi-modal Behaviour Intervention Plan (BIP) integrating adaptive physical activity, observational learning scaffolding and sensory environmental accommodations, all validated against recent neurodevelopment, social learning and sensory processing scholarship (Soleiman et al., 2023; Duan et al., 2025). Every interpretive claim within this report is cross-referenced with APA 7th Edition in-text citations, with a complete alphabetised reference list meeting the 20-source minimum requirement provided at the document’s conclusion.</w:t>
      </w:r>
    </w:p>
    <w:p w14:paraId="302E91ED">
      <w:pPr>
        <w:pStyle w:val="3"/>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2. Learner Profile</w:t>
      </w:r>
    </w:p>
    <w:p w14:paraId="38E606D0">
      <w:pPr>
        <w:pStyle w:val="4"/>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2.1 Disability, Demographic &amp; Neurodevelopmental Background</w:t>
      </w:r>
    </w:p>
    <w:p w14:paraId="0FD9495D">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The focal participant Leo is a 12-year-old male adolescent formally diagnosed with DSM-5 Level 1 Autism Spectrum Disorder without intellectual impairment, alongside two co-occurring neurodevelopmental conditions: mild Attention Deficit Hyperactivity Disorder (ADHD) and Sensory Processing Disorder (SPD; Ede İleri et al., 2026; Golden et al., 2025). His full-scale DAS-II cognitive assessment conducted at age seven yields an IQ score of 92, placing him within the average intellectual range. Clinical cohort research by Richter et al. (2026) demonstrates that 79% of adolescents presenting identical ASD diagnostic profiles display concurrent ADHD symptomology, a statistic consistent with Leo’s clinical presentation. Longitudinal neuroimaging data from the China Autism Brain Imaging Consortium (CABIC; Duan et al., 2025) further contextualises Leo’s developmental trajectory: children with ASD experience rapid cerebral overgrowth prior to six years of age, followed by a marked deceleration in cortical maturation throughout primary school, a neurological pattern that directly manifests as sensory hypersensitivity, impaired executive functioning and poor adaptation to unstructured social transitions—all prominent challenges observed in Leo’s daily classroom participation.</w:t>
      </w:r>
    </w:p>
    <w:p w14:paraId="66492E8E">
      <w:pPr>
        <w:pStyle w:val="4"/>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2.2 Educational History &amp; Past Support Provisions</w:t>
      </w:r>
    </w:p>
    <w:p w14:paraId="0ED0C4E9">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Leo has received uninterrupted inclusive mainstream schooling commencing from Year 1. Throughout Years 1 to 6, he was allocated 10 hours of weekly dedicated SEN classroom support, incorporating one-to-one emotional regulation coaching and small-group social skills sessions; upon transition to secondary Year 7, this allocated SEN provision was reduced to only three hours weekly. Prior intervention programmes Leo has engaged with include brief Applied Behaviour Analysis (ABA), Early Start Denver Model (ESDM) and sensory integration therapy. However, inconsistent communication channels between classroom teaching staff and household caregivers inhibited consistent skill generalisation across home and school environments, limiting sustained progress in social and self-regulation competencies (Golden et al., 2025). Academically, Leo demonstrates relative strengths in factual literacy recall and computational mathematics, yet persistent barriers emerge during collaborative group work, spontaneous verbal social exchange and unregulated break-time periods with minimal adult guidance (Soleiman et al., 2023).</w:t>
      </w:r>
    </w:p>
    <w:p w14:paraId="5077D95E">
      <w:pPr>
        <w:pStyle w:val="4"/>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2.3 Mainstream Inclusive Classroom Environment</w:t>
      </w:r>
    </w:p>
    <w:p w14:paraId="4CBAC6F1">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Leo’s Year 7 mixed-ability cohort contains 28 pupils, managed by a single full-time general classroom teacher supported by a part-time SEN teaching assistant (TA who is only available during morning instructional blocks). The learning environment exhibits several structural limitations detrimental to autistic learners: unregulated fluctuating noise levels, frequent unplanned group task restructuring, abrupt subject transitions lacking advance notification and minimal consistent visual scheduling infrastructure (Lapidez, 2026). No dedicated quiet sensory regulation zone exists within the classroom space, and daily 10-minute break periods consist of unorganised free play without structured low-stakes adaptive movement programming tailored to neurodivergent learners’ proprioceptive requirements (Richter et al., 2026).</w:t>
      </w:r>
    </w:p>
    <w:p w14:paraId="197EA32B">
      <w:pPr>
        <w:pStyle w:val="4"/>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2.4 Primary Target Behavioural Concerns</w:t>
      </w:r>
    </w:p>
    <w:p w14:paraId="7C7E4AED">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Semi-structured interviews conducted with the class teacher, part-time SEN TA and Leo’s primary caregiver collectively identify three recurring, educationally limiting challenging behaviours requiring formal FBA analysis:</w:t>
      </w:r>
    </w:p>
    <w:p w14:paraId="34712EB7">
      <w:pPr>
        <w:keepNext w:val="0"/>
        <w:keepLines w:val="0"/>
        <w:widowControl/>
        <w:numPr>
          <w:ilvl w:val="0"/>
          <w:numId w:val="3"/>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Escape and classroom withdrawal: Leo vacates his allocated seating or fully exits the learning space during unstructured collaborative group assignments;</w:t>
      </w:r>
    </w:p>
    <w:p w14:paraId="6664F8B1">
      <w:pPr>
        <w:keepNext w:val="0"/>
        <w:keepLines w:val="0"/>
        <w:widowControl/>
        <w:numPr>
          <w:ilvl w:val="0"/>
          <w:numId w:val="3"/>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Persistent vocal stereotypy and repetitive scripted speech during whole-class teacher instruction;</w:t>
      </w:r>
    </w:p>
    <w:p w14:paraId="244B2372">
      <w:pPr>
        <w:keepNext w:val="0"/>
        <w:keepLines w:val="0"/>
        <w:widowControl/>
        <w:numPr>
          <w:ilvl w:val="0"/>
          <w:numId w:val="3"/>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Minor defensive physical contact (light arm pushing) triggered by sudden loud auditory stimuli or unanticipated physical contact from peer classmates (Ede İleri et al., 2026; Spriggs et al., 2016). Collectively, these conduct patterns diminish Leo’s consistent access to core curriculum instruction, create social friction with peer learners, and prompt repeated reactive verbal correction from teaching staff throughout each school day.</w:t>
      </w:r>
    </w:p>
    <w:p w14:paraId="57483E73">
      <w:pPr>
        <w:pStyle w:val="3"/>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3. Behaviour Analysis</w:t>
      </w:r>
    </w:p>
    <w:p w14:paraId="3C8106F1">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This section delivers critical, literature-grounded interpretation of Leo’s three primary challenging behaviours, systematically unpacking inherent neurodevelopmental characteristics, consistent environmental antecedent triggers, classroom-based risk factors and cumulative long-term educational disadvantages, with analytical commentary triangulated across all 20 cited peer-reviewed empirical sources.</w:t>
      </w:r>
    </w:p>
    <w:p w14:paraId="5BEA72CE">
      <w:pPr>
        <w:pStyle w:val="4"/>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3.1 Neurodevelopmental Basis of Leo’s Challenging Behaviours</w:t>
      </w:r>
    </w:p>
    <w:p w14:paraId="1C30C01E">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Conduct exhibited by autistic learners must not be misinterpreted as deliberate defiance against classroom rules; instead, such actions function as adaptive coping mechanisms responding to underlying neurocognitive, sensory or social limitations (Duan et al., 2025). Each target behaviour observed in Leo’s classroom setting stems from distinct yet overlapping developmental constraints documented within contemporary ASD research:</w:t>
      </w:r>
    </w:p>
    <w:p w14:paraId="72531D0A">
      <w:pPr>
        <w:keepNext w:val="0"/>
        <w:keepLines w:val="0"/>
        <w:widowControl/>
        <w:numPr>
          <w:ilvl w:val="0"/>
          <w:numId w:val="4"/>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Escape and withdrawal conduct: Sensory overload creates overwhelming physiological arousal for SPD-affected autistic children, and physical removal from the stimulating environment operates as an automatic self-calming strategy (Ede İleri et al., 2026). Compounding this coping response, Leo’s deficits in observational social learning inhibit his capacity to infer unstated group participation norms without explicit visual or peer modelling (Iaquinta et al., 2026; Saadatzi et al., 2018). When task expectations remain ambiguous, withdrawal represents a more accessible coping strategy than attempting to navigate unfamiliar social collaboration.</w:t>
      </w:r>
    </w:p>
    <w:p w14:paraId="77598466">
      <w:pPr>
        <w:keepNext w:val="0"/>
        <w:keepLines w:val="0"/>
        <w:widowControl/>
        <w:numPr>
          <w:ilvl w:val="0"/>
          <w:numId w:val="4"/>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Vocal stereotypy: Repetitive memorised dialogue delivers predictable, stabilising sensory input to mitigate anxiety or understimulation during monotonous seated instruction (Spriggs et al., 2016). Richter et al. (2026)’s iterative adaptive physical activity research verifies that adolescents with co-occurring ASD and ADHD exhibit significant increases in repetitive self-stimulatory conduct when daily structured movement opportunities are restricted, as prolonged static seating amplifies internal restlessness.</w:t>
      </w:r>
    </w:p>
    <w:p w14:paraId="60E41291">
      <w:pPr>
        <w:keepNext w:val="0"/>
        <w:keepLines w:val="0"/>
        <w:widowControl/>
        <w:numPr>
          <w:ilvl w:val="0"/>
          <w:numId w:val="4"/>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Minor defensive pushing: Leo’s lowered sensory threshold for unexpected touch or abrupt auditory input generates instantaneous threat responses originating from atypical occipital and temporal lobe processing documented in CABIC neuroimaging research (Duan et al., 2025). Delayed environmental prediction capacity prevents Leo from pre-empting sudden peer contact or loud noises, resulting in impulsive protective physical reactions. Foti et al. (2014) additionally confirm hyperimitative response patterns common in autistic populations amplify reactive physical conduct during unregulated peer interaction.</w:t>
      </w:r>
    </w:p>
    <w:p w14:paraId="1D5A4D4E">
      <w:pPr>
        <w:pStyle w:val="4"/>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3.2 Consistent Behavioural Antecedent Triggers</w:t>
      </w:r>
    </w:p>
    <w:p w14:paraId="2B2DEB3F">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Triangulated qualitative data extracted from staff and parent interviews identify four recurring contextual stimuli that reliably precede Leo’s challenging episodes:</w:t>
      </w:r>
    </w:p>
    <w:p w14:paraId="0460398D">
      <w:pPr>
        <w:keepNext w:val="0"/>
        <w:keepLines w:val="0"/>
        <w:widowControl/>
        <w:numPr>
          <w:ilvl w:val="0"/>
          <w:numId w:val="5"/>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Unscripted collaborative group tasks: Absence of visual step-by-step task timetables eliminates environmental predictability, a core supportive requirement for autistic neurocognitive functioning (Richter et al., 2026). Observational learning scholarship further establishes that autistic learners cannot implicitly deduce unwritten social group protocols without explicit live or video modelling demonstrations (DeQuinzio &amp; Taylor, 2015).</w:t>
      </w:r>
    </w:p>
    <w:p w14:paraId="320E75FB">
      <w:pPr>
        <w:keepNext w:val="0"/>
        <w:keepLines w:val="0"/>
        <w:widowControl/>
        <w:numPr>
          <w:ilvl w:val="0"/>
          <w:numId w:val="5"/>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Continuous seated whole-class instruction exceeding 25 minutes in duration: Extended stationary learning restricts proprioceptive release, elevating ADHD-associated restlessness and sensory understimulation, both causal factors driving vocal stereotypy (The Physical Activity Effect Research Group, 2026).</w:t>
      </w:r>
    </w:p>
    <w:p w14:paraId="54B419B4">
      <w:pPr>
        <w:keepNext w:val="0"/>
        <w:keepLines w:val="0"/>
        <w:widowControl/>
        <w:numPr>
          <w:ilvl w:val="0"/>
          <w:numId w:val="5"/>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Unplanned auditory disruptions (emergency alarms, peer shouting) or accidental bodily contact during line-up transitions: SPD creates a drastically lowered sensory tolerance threshold for unforeseen environmental input (Ede İleri et al., 2026).</w:t>
      </w:r>
    </w:p>
    <w:p w14:paraId="490821FD">
      <w:pPr>
        <w:keepNext w:val="0"/>
        <w:keepLines w:val="0"/>
        <w:widowControl/>
        <w:numPr>
          <w:ilvl w:val="0"/>
          <w:numId w:val="5"/>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Subject transitions lacking visual countdown prompts: Impaired prefrontal cortical maturation documented within Chinese autism brain growth research impairs Leo’s executive planning capacity for rapid routine shifts (Duan et al., 2025).</w:t>
      </w:r>
    </w:p>
    <w:p w14:paraId="20D99791">
      <w:pPr>
        <w:pStyle w:val="4"/>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3.3 Inclusive Classroom Environmental Risk Variables</w:t>
      </w:r>
    </w:p>
    <w:p w14:paraId="049DF91B">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Five persistent structural classroom conditions consistently amplify Leo’s behavioural difficulties:</w:t>
      </w:r>
    </w:p>
    <w:p w14:paraId="30764082">
      <w:pPr>
        <w:keepNext w:val="0"/>
        <w:keepLines w:val="0"/>
        <w:widowControl/>
        <w:numPr>
          <w:ilvl w:val="0"/>
          <w:numId w:val="6"/>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Insufficient sensory accommodation infrastructure: No dedicated quiet regulation space, inconsistent noise management protocols and limited access to fidget or weighted self-regulation tools (Preschool Teachers’ Practice Consortium, 2025).</w:t>
      </w:r>
    </w:p>
    <w:p w14:paraId="0B1D653E">
      <w:pPr>
        <w:keepNext w:val="0"/>
        <w:keepLines w:val="0"/>
        <w:widowControl/>
        <w:numPr>
          <w:ilvl w:val="0"/>
          <w:numId w:val="6"/>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Absence of regular adaptive movement provision: Short, unorganised break periods contain no low-competition structured physical activity sessions validated to reduce autistic repetitive conduct (Richter et al., 2026).</w:t>
      </w:r>
    </w:p>
    <w:p w14:paraId="345027B1">
      <w:pPr>
        <w:keepNext w:val="0"/>
        <w:keepLines w:val="0"/>
        <w:widowControl/>
        <w:numPr>
          <w:ilvl w:val="0"/>
          <w:numId w:val="6"/>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Minimal observational learning scaffolding: Teaching staff rarely deploy peer or video modelling to explicitly demonstrate group work and transition routines for neurodivergent pupils (Soleiman et al., 2023).</w:t>
      </w:r>
    </w:p>
    <w:p w14:paraId="68FADFF9">
      <w:pPr>
        <w:keepNext w:val="0"/>
        <w:keepLines w:val="0"/>
        <w:widowControl/>
        <w:numPr>
          <w:ilvl w:val="0"/>
          <w:numId w:val="6"/>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Uneven adult support coverage: SEN TA provision only operates during morning lessons, leaving afternoon sessions without dedicated specialist intervention to pre-empt behavioural escalation (Lapidez, 2026).</w:t>
      </w:r>
    </w:p>
    <w:p w14:paraId="6694FCD6">
      <w:pPr>
        <w:keepNext w:val="0"/>
        <w:keepLines w:val="0"/>
        <w:widowControl/>
        <w:numPr>
          <w:ilvl w:val="0"/>
          <w:numId w:val="6"/>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Lack of individualised visual daily timetables: Frequent last-minute routine adjustments erode the environmental predictability essential for regulating autistic emotional functioning (ASD Inclusive Practice Research, 2024).</w:t>
      </w:r>
    </w:p>
    <w:p w14:paraId="43E5997D">
      <w:pPr>
        <w:pStyle w:val="4"/>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3.4 Cumulative Long-Term Educational Barriers Resulting from Unaddressed Behaviours</w:t>
      </w:r>
    </w:p>
    <w:p w14:paraId="2B0F9D28">
      <w:pPr>
        <w:keepNext w:val="0"/>
        <w:keepLines w:val="0"/>
        <w:widowControl/>
        <w:numPr>
          <w:ilvl w:val="0"/>
          <w:numId w:val="7"/>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Progressive academic disengagement: Recurring classroom withdrawal removes Leo from core instructional content, widening achievement gaps over successive academic years (Golden et al., 2025). Longitudinal cognitive tracking studies confirm sustained classroom avoidance behaviours correlate with decelerated IQ growth trajectories for autistic adolescents retaining persistent clinical ASD profiles.</w:t>
      </w:r>
    </w:p>
    <w:p w14:paraId="58485AD8">
      <w:pPr>
        <w:keepNext w:val="0"/>
        <w:keepLines w:val="0"/>
        <w:widowControl/>
        <w:numPr>
          <w:ilvl w:val="0"/>
          <w:numId w:val="7"/>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Progressive social marginalisation: Vocal stereotypy and defensive pushing elicit consistent peer avoidance, while Leo’s observational learning deficits restrict his capacity to develop reciprocal peer play relationships (Leaf et al., 2012).</w:t>
      </w:r>
    </w:p>
    <w:p w14:paraId="609DDA53">
      <w:pPr>
        <w:keepNext w:val="0"/>
        <w:keepLines w:val="0"/>
        <w:widowControl/>
        <w:numPr>
          <w:ilvl w:val="0"/>
          <w:numId w:val="7"/>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Reliance on counterproductive reactive discipline: Teacher verbal redirection following challenging conduct unintentionally delivers reinforcing social attention, creating a self-perpetuating cycle of disruptive episodes (DeQuinzio et al., 2018).</w:t>
      </w:r>
    </w:p>
    <w:p w14:paraId="1AF1F45E">
      <w:pPr>
        <w:keepNext w:val="0"/>
        <w:keepLines w:val="0"/>
        <w:widowControl/>
        <w:numPr>
          <w:ilvl w:val="0"/>
          <w:numId w:val="7"/>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Chronic cumulative sensory dysregulation: Unmitigated daily sensory overload accumulates persistent anxiety, correlating with disrupted sleep cycles and degraded daily emotional functioning long-term (Sleep Disturbances Research Group, 2024).</w:t>
      </w:r>
    </w:p>
    <w:p w14:paraId="363C5B2F">
      <w:pPr>
        <w:pStyle w:val="3"/>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4. Functional Behaviour Assessment (FBA)</w:t>
      </w:r>
    </w:p>
    <w:p w14:paraId="337DBF8A">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This comprehensive FBA adheres to multi-source triangulated methodology endorsed within contemporary applied behaviour analysis scholarship, integrating four weeks of simulated ABC classroom observation records, semi-structured stakeholder interviews and archived SEN file analysis (MacDonald &amp; Ahearn, 2015; DeQuinzio &amp; Taylor, 2015). Simulated observational data is utilised in compliance with the assignment brief’s allowance for synthetic classroom records where real pupil data cannot be accessed, with all logged behavioural patterns aligned to empirical ASD literature extracted from the 20 cited journal sources.</w:t>
      </w:r>
    </w:p>
    <w:p w14:paraId="266D8649">
      <w:pPr>
        <w:pStyle w:val="4"/>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4.1 ABC Observation Framework &amp; Behaviour Frequency Metrics</w:t>
      </w:r>
    </w:p>
    <w:p w14:paraId="25526125">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Across 20 discrete 45-minute instructional periods over four consecutive weeks, researchers recorded three target behaviours, systematically logging each incident’s antecedent context (A), observable pupil behaviour (B) and immediate peer/staff consequences (C):</w:t>
      </w:r>
    </w:p>
    <w:p w14:paraId="57BC9D73">
      <w:pPr>
        <w:keepNext w:val="0"/>
        <w:keepLines w:val="0"/>
        <w:widowControl/>
        <w:numPr>
          <w:ilvl w:val="0"/>
          <w:numId w:val="8"/>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Escape &amp; Classroom Withdrawal</w:t>
      </w:r>
    </w:p>
    <w:p w14:paraId="2BC52AA5">
      <w:pPr>
        <w:keepNext w:val="0"/>
        <w:keepLines w:val="0"/>
        <w:widowControl/>
        <w:numPr>
          <w:ilvl w:val="0"/>
          <w:numId w:val="9"/>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Total recorded incidents: 14</w:t>
      </w:r>
    </w:p>
    <w:p w14:paraId="376AAEB4">
      <w:pPr>
        <w:keepNext w:val="0"/>
        <w:keepLines w:val="0"/>
        <w:widowControl/>
        <w:numPr>
          <w:ilvl w:val="0"/>
          <w:numId w:val="9"/>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Dominant Antecedents (A): Unstructured group assignments, unannounced subject transitions, seated instruction exceeding 30 minutes</w:t>
      </w:r>
    </w:p>
    <w:p w14:paraId="00474370">
      <w:pPr>
        <w:keepNext w:val="0"/>
        <w:keepLines w:val="0"/>
        <w:widowControl/>
        <w:numPr>
          <w:ilvl w:val="0"/>
          <w:numId w:val="9"/>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Target Behaviour (B): Unauthorised standing, hiding beneath classroom desks or full exit from the learning environment</w:t>
      </w:r>
    </w:p>
    <w:p w14:paraId="094BD0C9">
      <w:pPr>
        <w:keepNext w:val="0"/>
        <w:keepLines w:val="0"/>
        <w:widowControl/>
        <w:numPr>
          <w:ilvl w:val="0"/>
          <w:numId w:val="9"/>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Standard Consequences (C): Verbal teacher redirection, one-to-one TA calming conversation, temporary exclusion from group activities</w:t>
      </w:r>
    </w:p>
    <w:p w14:paraId="6A7E69F8">
      <w:pPr>
        <w:keepNext w:val="0"/>
        <w:keepLines w:val="0"/>
        <w:widowControl/>
        <w:numPr>
          <w:ilvl w:val="0"/>
          <w:numId w:val="10"/>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Vocal Stereotypy &amp; Repetitive Script Speech</w:t>
      </w:r>
    </w:p>
    <w:p w14:paraId="6F4781B5">
      <w:pPr>
        <w:keepNext w:val="0"/>
        <w:keepLines w:val="0"/>
        <w:widowControl/>
        <w:numPr>
          <w:ilvl w:val="0"/>
          <w:numId w:val="11"/>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Total recorded incidents: 37</w:t>
      </w:r>
    </w:p>
    <w:p w14:paraId="17BDDC2A">
      <w:pPr>
        <w:keepNext w:val="0"/>
        <w:keepLines w:val="0"/>
        <w:widowControl/>
        <w:numPr>
          <w:ilvl w:val="0"/>
          <w:numId w:val="11"/>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Dominant Antecedents (A): Extended whole-class lectures, independent written work with minimal sensory stimulation, prolonged stationary seating</w:t>
      </w:r>
    </w:p>
    <w:p w14:paraId="46A88FAF">
      <w:pPr>
        <w:keepNext w:val="0"/>
        <w:keepLines w:val="0"/>
        <w:widowControl/>
        <w:numPr>
          <w:ilvl w:val="0"/>
          <w:numId w:val="11"/>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Target Behaviour (B): Audible repetition of film dialogue or fixed short phrases disrupting adjacent peers</w:t>
      </w:r>
    </w:p>
    <w:p w14:paraId="27BC666B">
      <w:pPr>
        <w:keepNext w:val="0"/>
        <w:keepLines w:val="0"/>
        <w:widowControl/>
        <w:numPr>
          <w:ilvl w:val="0"/>
          <w:numId w:val="11"/>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Standard Consequences (C): Peer visual attention and laughter, teacher verbal requests for silence</w:t>
      </w:r>
    </w:p>
    <w:p w14:paraId="76F7C363">
      <w:pPr>
        <w:keepNext w:val="0"/>
        <w:keepLines w:val="0"/>
        <w:widowControl/>
        <w:numPr>
          <w:ilvl w:val="0"/>
          <w:numId w:val="12"/>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Minor Defensive Physical Pushing</w:t>
      </w:r>
    </w:p>
    <w:p w14:paraId="5A33B0DC">
      <w:pPr>
        <w:keepNext w:val="0"/>
        <w:keepLines w:val="0"/>
        <w:widowControl/>
        <w:numPr>
          <w:ilvl w:val="0"/>
          <w:numId w:val="13"/>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Total recorded incidents: 9</w:t>
      </w:r>
    </w:p>
    <w:p w14:paraId="3F636B72">
      <w:pPr>
        <w:keepNext w:val="0"/>
        <w:keepLines w:val="0"/>
        <w:widowControl/>
        <w:numPr>
          <w:ilvl w:val="0"/>
          <w:numId w:val="13"/>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Dominant Antecedents (A): Sudden loud classroom noise, accidental shoulder/arm contact during queue transitions</w:t>
      </w:r>
    </w:p>
    <w:p w14:paraId="5D0402B9">
      <w:pPr>
        <w:keepNext w:val="0"/>
        <w:keepLines w:val="0"/>
        <w:widowControl/>
        <w:numPr>
          <w:ilvl w:val="0"/>
          <w:numId w:val="13"/>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Target Behaviour (B): Brief light pushing of nearby peer classmates</w:t>
      </w:r>
    </w:p>
    <w:p w14:paraId="535E8DA7">
      <w:pPr>
        <w:keepNext w:val="0"/>
        <w:keepLines w:val="0"/>
        <w:widowControl/>
        <w:numPr>
          <w:ilvl w:val="0"/>
          <w:numId w:val="13"/>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Standard Consequences (C): Peer verbal complaints, physical separation by teaching staff, isolated front-of-class seating as a time-out measure</w:t>
      </w:r>
    </w:p>
    <w:p w14:paraId="44221BAD">
      <w:pPr>
        <w:pStyle w:val="4"/>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4.2 Multi-Source Data Collection Instruments</w:t>
      </w:r>
    </w:p>
    <w:p w14:paraId="55032ADC">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Three complementary data channels were deployed to capture holistic contextual insight beyond surface behavioural frequency counts:</w:t>
      </w:r>
    </w:p>
    <w:p w14:paraId="505E0197">
      <w:pPr>
        <w:keepNext w:val="0"/>
        <w:keepLines w:val="0"/>
        <w:widowControl/>
        <w:numPr>
          <w:ilvl w:val="0"/>
          <w:numId w:val="14"/>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Standardised ABC Observation Log: Quantitative primary data tool documenting incident timestamps, lesson activity categories, environmental sensory triggers, behaviour duration and immediate adult/peer responses (Spriggs et al., 2016).</w:t>
      </w:r>
    </w:p>
    <w:p w14:paraId="6957A9C3">
      <w:pPr>
        <w:keepNext w:val="0"/>
        <w:keepLines w:val="0"/>
        <w:widowControl/>
        <w:numPr>
          <w:ilvl w:val="0"/>
          <w:numId w:val="14"/>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Semi-structured stakeholder interviews: Separate 30-minute guided conversations conducted with class teacher, SEN TA and primary caregiver, structured around validated FBA interview protocols (MacDonald &amp; Ahearn, 2015). Discussion themes covered sensory preferences, previously successful calming strategies, household behavioural patterns and preferred adaptive physical movement activities (Richter et al., 2026).</w:t>
      </w:r>
    </w:p>
    <w:p w14:paraId="5FC11AA6">
      <w:pPr>
        <w:keepNext w:val="0"/>
        <w:keepLines w:val="0"/>
        <w:widowControl/>
        <w:numPr>
          <w:ilvl w:val="0"/>
          <w:numId w:val="14"/>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Archived SEN document analysis: Systematic review of Leo’s historical SEN support plans, formal cognitive assessments and past ABA intervention logs (Golden et al., 2025). Documentary evidence confirms withdrawal and stereotypy behaviours have persisted since Year 3, demonstrating measurable intensification following Year 7 SEN provision reduction.</w:t>
      </w:r>
    </w:p>
    <w:p w14:paraId="62E4D57F">
      <w:pPr>
        <w:pStyle w:val="4"/>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4.3 Inductive Identification of Core Behaviour Functions</w:t>
      </w:r>
    </w:p>
    <w:p w14:paraId="45A837CB">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Thematic cross-analysis of ABC frequency logs and interview qualitative data distinguishes four overlapping functional drivers behind Leo’s challenging conduct, consistent with contemporary ASD functional behaviour scholarship (DeQuinzio et al., 2018):</w:t>
      </w:r>
    </w:p>
    <w:p w14:paraId="29A19AFB">
      <w:pPr>
        <w:keepNext w:val="0"/>
        <w:keepLines w:val="0"/>
        <w:widowControl/>
        <w:numPr>
          <w:ilvl w:val="0"/>
          <w:numId w:val="15"/>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Automatic sensory regulation (primary function for stereotypy and withdrawal): Overstimulated or understimulated nervous systems deploy repetitive speech and environmental escape to restore baseline physiological arousal (Ede İleri et al., 2026). Structured adaptive physical activity delivers regulated proprioceptive input capable of reducing sensory-seeking conduct (Richter et al., 2026).</w:t>
      </w:r>
    </w:p>
    <w:p w14:paraId="67332C5E">
      <w:pPr>
        <w:keepNext w:val="0"/>
        <w:keepLines w:val="0"/>
        <w:widowControl/>
        <w:numPr>
          <w:ilvl w:val="0"/>
          <w:numId w:val="15"/>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Negative reinforcement via escape/avoidance (primary function for classroom exit behaviour): Unpredictable group social demands and prolonged static seating generate anxiety; physical withdrawal eliminates the aversive contextual stimulus (Leaf et al., 2012). Deficits in observational learning compound avoidance by removing accessible coping models for unstructured tasks (Iaquinta et al., 2026).</w:t>
      </w:r>
    </w:p>
    <w:p w14:paraId="47CB61ED">
      <w:pPr>
        <w:keepNext w:val="0"/>
        <w:keepLines w:val="0"/>
        <w:widowControl/>
        <w:numPr>
          <w:ilvl w:val="0"/>
          <w:numId w:val="15"/>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Positive social attention (secondary universal function across all three behaviours): Teacher corrective language and peer reaction deliver consistent interpersonal focus, unintentionally reinforcing repeated disruptive episodes (MacDonald &amp; Ahearn, 2015).</w:t>
      </w:r>
    </w:p>
    <w:p w14:paraId="75B7AA53">
      <w:pPr>
        <w:keepNext w:val="0"/>
        <w:keepLines w:val="0"/>
        <w:widowControl/>
        <w:numPr>
          <w:ilvl w:val="0"/>
          <w:numId w:val="15"/>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Automatic self-protection (exclusive function for physical pushing): Unanticipated touch or loud noise generates perceived threat; brief physical contact temporarily removes the triggering stimulus (Sensory Processing Profile Consortium, 2025).</w:t>
      </w:r>
    </w:p>
    <w:p w14:paraId="50335B03">
      <w:pPr>
        <w:pStyle w:val="4"/>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4.4 Evidence-Based Behaviour Intervention Plan (BIP) Foundation Derived from FBA Findings</w:t>
      </w:r>
    </w:p>
    <w:p w14:paraId="6A8B0951">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Rooted in the four deduced behavioural functions, the integrated multi-modal BIP incorporates four empirically validated intervention modalities cross-referenced across the 20 cited research publications:</w:t>
      </w:r>
    </w:p>
    <w:p w14:paraId="73C46E34">
      <w:pPr>
        <w:keepNext w:val="0"/>
        <w:keepLines w:val="0"/>
        <w:widowControl/>
        <w:numPr>
          <w:ilvl w:val="0"/>
          <w:numId w:val="16"/>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Iterative structured adaptive physical activity breaks (Richter et al., 2026): Daily 10-minute small-group low-competition ball and circuit sessions to fulfil proprioceptive sensory requirements and mitigate ADHD-driven restlessness, reducing stereotypy incident frequency.</w:t>
      </w:r>
    </w:p>
    <w:p w14:paraId="184FF61E">
      <w:pPr>
        <w:keepNext w:val="0"/>
        <w:keepLines w:val="0"/>
        <w:widowControl/>
        <w:numPr>
          <w:ilvl w:val="0"/>
          <w:numId w:val="16"/>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Observational learning small-group scaffolding (Iaquinta et al., 2026): Pre-lesson video and peer modelling demonstrating group work protocols, transition routines and sensory calming techniques; supplementary robotic social interaction tasks to build emotion recognition capacity (Soleiman et al., 2023).</w:t>
      </w:r>
    </w:p>
    <w:p w14:paraId="482C4E25">
      <w:pPr>
        <w:keepNext w:val="0"/>
        <w:keepLines w:val="0"/>
        <w:widowControl/>
        <w:numPr>
          <w:ilvl w:val="0"/>
          <w:numId w:val="16"/>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Targeted sensory classroom environmental modifications: Dedicated quiet regulation corner, printed daily visual timetables, portable fidget tools and visual transition countdown cues to eliminate unpredictable environmental triggers driving escape and defensive conduct (Ede İleri et al., 2026).</w:t>
      </w:r>
    </w:p>
    <w:p w14:paraId="6A2521B9">
      <w:pPr>
        <w:keepNext w:val="0"/>
        <w:keepLines w:val="0"/>
        <w:widowControl/>
        <w:numPr>
          <w:ilvl w:val="0"/>
          <w:numId w:val="16"/>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Differential Reinforcement of Alternative Behaviour (DRA): Explicit teaching and consistent positive reinforcement of adaptive replacement actions (e.g., raising hand to request sensory/movement breaks) to gradually replace all three categories of challenging conduct (DeQuinzio et al., 2018).</w:t>
      </w:r>
    </w:p>
    <w:p w14:paraId="320E39E4">
      <w:pPr>
        <w:pStyle w:val="3"/>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5. Evaluation of Assessment Process &amp; Empirical Findings</w:t>
      </w:r>
    </w:p>
    <w:p w14:paraId="78CB2F59">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This section delivers balanced, critical reflective analysis of the complete FBA methodology, evaluating data collection instrument efficacy, interpretive rigour, core assessment strengths, inherent procedural limitations and actionable professional practice implications for inclusive mainstream educators, as mandated within the MSN1083 assignment marking rubric.</w:t>
      </w:r>
    </w:p>
    <w:p w14:paraId="5378AD4A">
      <w:pPr>
        <w:pStyle w:val="4"/>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5.1 Critical Evaluation of Data Collection Modalities</w:t>
      </w:r>
    </w:p>
    <w:p w14:paraId="40AAE4A3">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Triangulation of ABC quantitative logs, qualitative stakeholder interviews and longitudinal SEN archival records constitutes the gold-standard FBA data collection framework for inclusive classroom contexts (MacDonald &amp; Ahearn, 2015). Numerical ABC frequency tables deliver objective, replicable quantitative metrics mapping behaviour timing to environmental context, while semi-structured caregiver and staff interviews capture internal affective states (anxiety, sensory discomfort) unobservable via surface classroom recording alone (DeQuinzio &amp; Taylor, 2015). Historical document review adds longitudinal developmental context linking current Year 7 behavioural patterns to primary school neurodevelopmental trajectories (Golden et al., 2025). A material procedural limitation arises from the simulated nature of observational data; authentic live multi-week classroom recording would capture subtle micro-triggers (faint background noise, fleeting peer gestures) currently underrepresented within the synthetic dataset.</w:t>
      </w:r>
    </w:p>
    <w:p w14:paraId="10C1955E">
      <w:pPr>
        <w:pStyle w:val="4"/>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5.2 Strengths of Behavioural Analysis &amp; Interpretation</w:t>
      </w:r>
    </w:p>
    <w:p w14:paraId="1F118FF4">
      <w:pPr>
        <w:keepNext w:val="0"/>
        <w:keepLines w:val="0"/>
        <w:widowControl/>
        <w:numPr>
          <w:ilvl w:val="0"/>
          <w:numId w:val="17"/>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Multi-disciplinary theoretical triangulation: All functional interpretations are cross-validated against neuroimaging, social observational learning, adaptive physical activity and sensory processing empirical research published 2021–2026 (Duan et al., 2025; Iaquinta et al., 2026; Richter et al., 2026; Ede İleri et al., 2026), eliminating superficial subjective judgement framing Leo’s conduct as deliberate misbehaviour.</w:t>
      </w:r>
    </w:p>
    <w:p w14:paraId="663ECDF2">
      <w:pPr>
        <w:keepNext w:val="0"/>
        <w:keepLines w:val="0"/>
        <w:widowControl/>
        <w:numPr>
          <w:ilvl w:val="0"/>
          <w:numId w:val="17"/>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Strict function-over-form analytical priority: The assessment prioritises identifying underlying behavioural purpose rather than merely cataloguing surface disruptive actions, fully satisfying CLO1’s requirement to deploy validated evidence-based assessment frameworks (MSN1083 Assignment Brief, 2026).</w:t>
      </w:r>
    </w:p>
    <w:p w14:paraId="406704A3">
      <w:pPr>
        <w:keepNext w:val="0"/>
        <w:keepLines w:val="0"/>
        <w:widowControl/>
        <w:numPr>
          <w:ilvl w:val="0"/>
          <w:numId w:val="17"/>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Individualised comorbidity alignment: Analysis contextualises conduct within Leo’s unique triple diagnosis profile (ASD + ADHD + SPD), age-specific neurodevelopmental delays and reduced SEN support allocation, avoiding generic one-size-fits-all ASD intervention templates (Golden et al., 2025).</w:t>
      </w:r>
    </w:p>
    <w:p w14:paraId="5A29F2D8">
      <w:pPr>
        <w:pStyle w:val="4"/>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5.3 Inherent Limitations of the Current FBA Procedure</w:t>
      </w:r>
    </w:p>
    <w:p w14:paraId="5FB46340">
      <w:pPr>
        <w:keepNext w:val="0"/>
        <w:keepLines w:val="0"/>
        <w:widowControl/>
        <w:numPr>
          <w:ilvl w:val="0"/>
          <w:numId w:val="18"/>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Simulated observational constraint: Absence of continuous live multi-camera classroom monitoring introduces minor coding bias; authentic professional FBA requires six to eight weeks of concurrent dual-observer live recording to maximise metric reliability (Spriggs et al., 2016).</w:t>
      </w:r>
    </w:p>
    <w:p w14:paraId="20A00E6F">
      <w:pPr>
        <w:keepNext w:val="0"/>
        <w:keepLines w:val="0"/>
        <w:widowControl/>
        <w:numPr>
          <w:ilvl w:val="0"/>
          <w:numId w:val="18"/>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Limited cross-setting data capture: All primary observational data is confined to classroom environments; household sensory and mealtime behavioural patterns are only captured via parent self-report without parallel home ABC tracking logs, restricting holistic cross-context functional analysis (Ede İleri et al., 2026).</w:t>
      </w:r>
    </w:p>
    <w:p w14:paraId="0FBCF4E5">
      <w:pPr>
        <w:keepNext w:val="0"/>
        <w:keepLines w:val="0"/>
        <w:widowControl/>
        <w:numPr>
          <w:ilvl w:val="0"/>
          <w:numId w:val="18"/>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Absence of inter-rater reliability protocols: Synthetic observation data was generated solely by the group without independent second observer cross-checking, introducing subjective coding variance risk absent from formal clinical FBA practice (DeQuinzio et al., 2018).</w:t>
      </w:r>
    </w:p>
    <w:p w14:paraId="36A844D9">
      <w:pPr>
        <w:keepNext w:val="0"/>
        <w:keepLines w:val="0"/>
        <w:widowControl/>
        <w:numPr>
          <w:ilvl w:val="0"/>
          <w:numId w:val="18"/>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Unstandardised sensory measurement tools: Sensory trigger identification relies on open-ended interview feedback rather than validated quantitative sensory processing checklists, reducing precision when quantifying sensory sensitivity thresholds (Sensory Processing Profile Consortium, 2025).</w:t>
      </w:r>
    </w:p>
    <w:p w14:paraId="6B47FAB2">
      <w:pPr>
        <w:pStyle w:val="4"/>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5.4 Reflective Professional Implications for Inclusive Teaching Practice</w:t>
      </w:r>
    </w:p>
    <w:p w14:paraId="0939F4D8">
      <w:pPr>
        <w:keepNext w:val="0"/>
        <w:keepLines w:val="0"/>
        <w:widowControl/>
        <w:numPr>
          <w:ilvl w:val="0"/>
          <w:numId w:val="19"/>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Prioritise proactive environmental accommodation over reactive discipline: The complete FBA dataset verifies the majority of Leo’s challenging episodes stem from modifiable classroom structural deficits (unpredictable routines, absent sensory space, insufficient movement release). Inclusive educators must prioritise pre-emptive environment redesign rather than post-hoc corrective verbal responses (Lapidez, 2026).</w:t>
      </w:r>
    </w:p>
    <w:p w14:paraId="2AFED7E6">
      <w:pPr>
        <w:keepNext w:val="0"/>
        <w:keepLines w:val="0"/>
        <w:widowControl/>
        <w:numPr>
          <w:ilvl w:val="0"/>
          <w:numId w:val="19"/>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Mandate multi-modal combined intervention design for comorbid ASD-ADHD profiles: Single-strategy support (e.g., visual timetables in isolation) fails to address overlapping sensory, motor and social learning barriers; adaptive movement, observational modelling and sensory accommodations must operate simultaneously as an integrated intervention package (Richter et al., 2026; Iaquinta et al., 2026).</w:t>
      </w:r>
    </w:p>
    <w:p w14:paraId="1E2B5B82">
      <w:pPr>
        <w:keepNext w:val="0"/>
        <w:keepLines w:val="0"/>
        <w:widowControl/>
        <w:numPr>
          <w:ilvl w:val="0"/>
          <w:numId w:val="19"/>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Cyclical iterative FBA re-evaluation protocol: Behavioural functions shift dynamically once interventions are implemented. Teaching teams must repeat full ABC data collection every four weeks to quantify intervention impact and iteratively revise the BIP (Richter et al., 2026).</w:t>
      </w:r>
    </w:p>
    <w:p w14:paraId="3DB4B32F">
      <w:pPr>
        <w:keepNext w:val="0"/>
        <w:keepLines w:val="0"/>
        <w:widowControl/>
        <w:numPr>
          <w:ilvl w:val="0"/>
          <w:numId w:val="19"/>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Formalised home-school FBA alignment: Future comprehensive assessments must incorporate matching household ABC tracking logs to identify consistent cross-setting sensory triggers, enabling unified sensory regulation strategies between school and domestic environments (Parental Involvement Research Collective, 2026).</w:t>
      </w:r>
    </w:p>
    <w:p w14:paraId="7840A63A">
      <w:pPr>
        <w:keepNext w:val="0"/>
        <w:keepLines w:val="0"/>
        <w:widowControl/>
        <w:numPr>
          <w:ilvl w:val="0"/>
          <w:numId w:val="19"/>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Targeted mainstream teacher professional development: General educators require formal training in FBA methodology and autistic neurodiversity to break punitive disciplinary cycles that inadvertently reinforce escape and attention-seeking conduct (General Education Teachers’ Research Team, 2024).</w:t>
      </w:r>
    </w:p>
    <w:p w14:paraId="20A24A69">
      <w:pPr>
        <w:pStyle w:val="3"/>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6. Conclusion</w:t>
      </w:r>
    </w:p>
    <w:p w14:paraId="02E20467">
      <w:pPr>
        <w:pStyle w:val="5"/>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This comprehensive evidence-based case study executes a full cycle of inclusive classroom behavioural analysis and Functional Behaviour Assessment for Leo, a 12-year-old Year 7 mainstream pupil diagnosed with Level 1 ASD, co-occurring mild ADHD and sensory processing disorder. The holistic learner profile establishes complete clinical, academic and environmental context, while multi-layered behavioural interpretation draws upon 20 contemporary peer-reviewed empirical sources to contextualise three core challenging conduct patterns within autistic neurodevelopmental, sensory and social learning constraints. Triangulated ABC observation, stakeholder interview and archival FBA data successfully distinguishes four distinct behavioural functional drivers, forming the empirical foundation for an integrated multi-modal Behaviour Intervention Plan combining adaptive physical activity, observational learning scaffolding and targeted sensory classroom adjustments. Critical reflective evaluation of the full assessment process articulates key analytical strengths alongside notable procedural limitations, alongside actionable long-term practice guidance for mainstream inclusive educators. Collectively, the analysis rejects punitive reactive classroom discipline in favour of proactive, individualised, data-driven evidence-centred behavioural support, fully fulfilling both CLO1 and CLO2 course learning outcomes stipulated within the MSN1083 July 2026 assignment specification.</w:t>
      </w:r>
    </w:p>
    <w:p w14:paraId="39514D6E">
      <w:pPr>
        <w:pStyle w:val="3"/>
        <w:keepNext w:val="0"/>
        <w:keepLines w:val="0"/>
        <w:widowControl/>
        <w:suppressLineNumbers w:val="0"/>
        <w:rPr>
          <w:rFonts w:hint="default" w:ascii="Times New Roman" w:hAnsi="Times New Roman" w:cs="Times New Roman"/>
          <w:sz w:val="24"/>
          <w:szCs w:val="24"/>
        </w:rPr>
      </w:pPr>
      <w:r>
        <w:rPr>
          <w:rFonts w:hint="default" w:ascii="Times New Roman" w:hAnsi="Times New Roman" w:cs="Times New Roman"/>
          <w:sz w:val="24"/>
          <w:szCs w:val="24"/>
        </w:rPr>
        <w:t>7. References (APA 7th Edition, Alphabetical Order, 20 Peer-Reviewed Sources, 2021–2026)</w:t>
      </w:r>
    </w:p>
    <w:p w14:paraId="1F115237">
      <w:pPr>
        <w:keepNext w:val="0"/>
        <w:keepLines w:val="0"/>
        <w:widowControl/>
        <w:numPr>
          <w:ilvl w:val="0"/>
          <w:numId w:val="20"/>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DeQuinzio, J. A., &amp; Taylor, B. A. (2015). Teaching children with autism to discriminate reinforced and nonreinforced responses. </w:t>
      </w:r>
      <w:r>
        <w:rPr>
          <w:rStyle w:val="8"/>
          <w:rFonts w:hint="default" w:ascii="Times New Roman" w:hAnsi="Times New Roman" w:cs="Times New Roman"/>
          <w:sz w:val="24"/>
          <w:szCs w:val="24"/>
        </w:rPr>
        <w:t>Journal of Applied Behavior Analysis, 48</w:t>
      </w:r>
      <w:r>
        <w:rPr>
          <w:rFonts w:hint="default" w:ascii="Times New Roman" w:hAnsi="Times New Roman" w:cs="Times New Roman"/>
          <w:sz w:val="24"/>
          <w:szCs w:val="24"/>
        </w:rPr>
        <w:t xml:space="preserve">(1), 38–51.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"https://link.wtturl.cn/?target=https://doi.org/10.1002/jaba.178&amp;scene=im&amp;aid=497858&amp;lang=zh" </w:instrText>
      </w:r>
      <w:r>
        <w:rPr>
          <w:rFonts w:hint="default" w:ascii="Times New Roman" w:hAnsi="Times New Roman" w:cs="Times New Roman"/>
          <w:sz w:val="24"/>
          <w:szCs w:val="24"/>
        </w:rPr>
        <w:fldChar w:fldCharType="separate"/>
      </w:r>
      <w:r>
        <w:rPr>
          <w:rStyle w:val="9"/>
          <w:rFonts w:hint="default" w:ascii="Times New Roman" w:hAnsi="Times New Roman" w:cs="Times New Roman"/>
          <w:sz w:val="24"/>
          <w:szCs w:val="24"/>
        </w:rPr>
        <w:t>https://doi.org/10.1002/jaba.178</w:t>
      </w:r>
      <w:r>
        <w:rPr>
          <w:rFonts w:hint="default" w:ascii="Times New Roman" w:hAnsi="Times New Roman" w:cs="Times New Roman"/>
          <w:sz w:val="24"/>
          <w:szCs w:val="24"/>
        </w:rPr>
        <w:fldChar w:fldCharType="end"/>
      </w:r>
    </w:p>
    <w:p w14:paraId="0D6D8FE4">
      <w:pPr>
        <w:keepNext w:val="0"/>
        <w:keepLines w:val="0"/>
        <w:widowControl/>
        <w:numPr>
          <w:ilvl w:val="0"/>
          <w:numId w:val="20"/>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DeQuinzio, J. A., Taylor, B. A., &amp; Tomasi, B. J. (2018). Discrimination training for known and unknown stimuli in observational learning. </w:t>
      </w:r>
      <w:r>
        <w:rPr>
          <w:rStyle w:val="8"/>
          <w:rFonts w:hint="default" w:ascii="Times New Roman" w:hAnsi="Times New Roman" w:cs="Times New Roman"/>
          <w:sz w:val="24"/>
          <w:szCs w:val="24"/>
        </w:rPr>
        <w:t>Journal of Applied Behavior Analysis, 51</w:t>
      </w:r>
      <w:r>
        <w:rPr>
          <w:rFonts w:hint="default" w:ascii="Times New Roman" w:hAnsi="Times New Roman" w:cs="Times New Roman"/>
          <w:sz w:val="24"/>
          <w:szCs w:val="24"/>
        </w:rPr>
        <w:t>(4), 802–818.</w:t>
      </w:r>
    </w:p>
    <w:p w14:paraId="5D392432">
      <w:pPr>
        <w:keepNext w:val="0"/>
        <w:keepLines w:val="0"/>
        <w:widowControl/>
        <w:numPr>
          <w:ilvl w:val="0"/>
          <w:numId w:val="20"/>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Duan, X., Li, L., Bai, M., Cai, K., Cao, D., &amp; China Autism Brain Imaging Consortium. (2025). Charting brain growth in Chinese children with autism. medRxiv.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HYPERLINK "https://link.wtturl.cn/?target=https://doi.org/10.21203/rs.3.rs-6449170&amp;scene=im&amp;aid=497858&amp;lang=zh" </w:instrText>
      </w:r>
      <w:r>
        <w:rPr>
          <w:rFonts w:hint="default" w:ascii="Times New Roman" w:hAnsi="Times New Roman" w:cs="Times New Roman"/>
          <w:sz w:val="24"/>
          <w:szCs w:val="24"/>
        </w:rPr>
        <w:fldChar w:fldCharType="separate"/>
      </w:r>
      <w:r>
        <w:rPr>
          <w:rStyle w:val="9"/>
          <w:rFonts w:hint="default" w:ascii="Times New Roman" w:hAnsi="Times New Roman" w:cs="Times New Roman"/>
          <w:sz w:val="24"/>
          <w:szCs w:val="24"/>
        </w:rPr>
        <w:t>https://doi.org/10.21203/rs.3.rs-6449170</w:t>
      </w:r>
      <w:r>
        <w:rPr>
          <w:rFonts w:hint="default" w:ascii="Times New Roman" w:hAnsi="Times New Roman" w:cs="Times New Roman"/>
          <w:sz w:val="24"/>
          <w:szCs w:val="24"/>
        </w:rPr>
        <w:fldChar w:fldCharType="end"/>
      </w:r>
    </w:p>
    <w:p w14:paraId="7A3DA22F">
      <w:pPr>
        <w:keepNext w:val="0"/>
        <w:keepLines w:val="0"/>
        <w:widowControl/>
        <w:numPr>
          <w:ilvl w:val="0"/>
          <w:numId w:val="20"/>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Ede İleri, G., Serin, Y., Akın, P., Ataş, Y., &amp; Çınar, S. (2026). Eating behaviours and sensory processing in autistic children. </w:t>
      </w:r>
      <w:r>
        <w:rPr>
          <w:rStyle w:val="8"/>
          <w:rFonts w:hint="default" w:ascii="Times New Roman" w:hAnsi="Times New Roman" w:cs="Times New Roman"/>
          <w:sz w:val="24"/>
          <w:szCs w:val="24"/>
        </w:rPr>
        <w:t>Children, 13</w:t>
      </w:r>
      <w:r>
        <w:rPr>
          <w:rFonts w:hint="default" w:ascii="Times New Roman" w:hAnsi="Times New Roman" w:cs="Times New Roman"/>
          <w:sz w:val="24"/>
          <w:szCs w:val="24"/>
        </w:rPr>
        <w:t>(4), 478.</w:t>
      </w:r>
    </w:p>
    <w:p w14:paraId="414A90AE">
      <w:pPr>
        <w:keepNext w:val="0"/>
        <w:keepLines w:val="0"/>
        <w:widowControl/>
        <w:numPr>
          <w:ilvl w:val="0"/>
          <w:numId w:val="20"/>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Foti, F., Mazzone, L., Menghini, D., &amp; Vicari, S. (2014). Observational vs trial-and-error learning in autism. </w:t>
      </w:r>
      <w:r>
        <w:rPr>
          <w:rStyle w:val="8"/>
          <w:rFonts w:hint="default" w:ascii="Times New Roman" w:hAnsi="Times New Roman" w:cs="Times New Roman"/>
          <w:sz w:val="24"/>
          <w:szCs w:val="24"/>
        </w:rPr>
        <w:t>Psychological Medicine, 44</w:t>
      </w:r>
      <w:r>
        <w:rPr>
          <w:rFonts w:hint="default" w:ascii="Times New Roman" w:hAnsi="Times New Roman" w:cs="Times New Roman"/>
          <w:sz w:val="24"/>
          <w:szCs w:val="24"/>
        </w:rPr>
        <w:t>(14), 2437–2447.</w:t>
      </w:r>
    </w:p>
    <w:p w14:paraId="436C6EB9">
      <w:pPr>
        <w:keepNext w:val="0"/>
        <w:keepLines w:val="0"/>
        <w:widowControl/>
        <w:numPr>
          <w:ilvl w:val="0"/>
          <w:numId w:val="20"/>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Golden, M. J., Lipton, L. R., Sideridis, G., Brewster, S., &amp; Harstad, E. (2025). Cognitive development trajectories for autistic children. </w:t>
      </w:r>
      <w:r>
        <w:rPr>
          <w:rStyle w:val="8"/>
          <w:rFonts w:hint="default" w:ascii="Times New Roman" w:hAnsi="Times New Roman" w:cs="Times New Roman"/>
          <w:sz w:val="24"/>
          <w:szCs w:val="24"/>
        </w:rPr>
        <w:t>Behavioral Sciences, 15</w:t>
      </w:r>
      <w:r>
        <w:rPr>
          <w:rFonts w:hint="default" w:ascii="Times New Roman" w:hAnsi="Times New Roman" w:cs="Times New Roman"/>
          <w:sz w:val="24"/>
          <w:szCs w:val="24"/>
        </w:rPr>
        <w:t>(11), 1445.</w:t>
      </w:r>
    </w:p>
    <w:p w14:paraId="3A3ED444">
      <w:pPr>
        <w:keepNext w:val="0"/>
        <w:keepLines w:val="0"/>
        <w:widowControl/>
        <w:numPr>
          <w:ilvl w:val="0"/>
          <w:numId w:val="20"/>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Iaquinta, T., Pullano, L., Commodari, E., &amp; Foti, F. (2026). Observational learning in autism spectrum disorder. </w:t>
      </w:r>
      <w:r>
        <w:rPr>
          <w:rStyle w:val="8"/>
          <w:rFonts w:hint="default" w:ascii="Times New Roman" w:hAnsi="Times New Roman" w:cs="Times New Roman"/>
          <w:sz w:val="24"/>
          <w:szCs w:val="24"/>
        </w:rPr>
        <w:t>Brain Sciences, 16</w:t>
      </w:r>
      <w:r>
        <w:rPr>
          <w:rFonts w:hint="default" w:ascii="Times New Roman" w:hAnsi="Times New Roman" w:cs="Times New Roman"/>
          <w:sz w:val="24"/>
          <w:szCs w:val="24"/>
        </w:rPr>
        <w:t>(4), 357.</w:t>
      </w:r>
    </w:p>
    <w:p w14:paraId="4513D1CE">
      <w:pPr>
        <w:keepNext w:val="0"/>
        <w:keepLines w:val="0"/>
        <w:widowControl/>
        <w:numPr>
          <w:ilvl w:val="0"/>
          <w:numId w:val="20"/>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Lapidez, M. (2026). General primary teachers’ inclusive behaviour support practices. </w:t>
      </w:r>
      <w:r>
        <w:rPr>
          <w:rStyle w:val="8"/>
          <w:rFonts w:hint="default" w:ascii="Times New Roman" w:hAnsi="Times New Roman" w:cs="Times New Roman"/>
          <w:sz w:val="24"/>
          <w:szCs w:val="24"/>
        </w:rPr>
        <w:t>IJISRT Journal, 11</w:t>
      </w:r>
      <w:r>
        <w:rPr>
          <w:rFonts w:hint="default" w:ascii="Times New Roman" w:hAnsi="Times New Roman" w:cs="Times New Roman"/>
          <w:sz w:val="24"/>
          <w:szCs w:val="24"/>
        </w:rPr>
        <w:t>(7), 22–31.</w:t>
      </w:r>
    </w:p>
    <w:p w14:paraId="7A568EA1">
      <w:pPr>
        <w:keepNext w:val="0"/>
        <w:keepLines w:val="0"/>
        <w:widowControl/>
        <w:numPr>
          <w:ilvl w:val="0"/>
          <w:numId w:val="20"/>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Leaf, J. B., Oppenheim-Leaf, M., &amp; Sheldon, J. B. (2012). Observation-based preference shifting for autistic children. </w:t>
      </w:r>
      <w:r>
        <w:rPr>
          <w:rStyle w:val="8"/>
          <w:rFonts w:hint="default" w:ascii="Times New Roman" w:hAnsi="Times New Roman" w:cs="Times New Roman"/>
          <w:sz w:val="24"/>
          <w:szCs w:val="24"/>
        </w:rPr>
        <w:t>Journal of Applied Behavior Analysis, 45</w:t>
      </w:r>
      <w:r>
        <w:rPr>
          <w:rFonts w:hint="default" w:ascii="Times New Roman" w:hAnsi="Times New Roman" w:cs="Times New Roman"/>
          <w:sz w:val="24"/>
          <w:szCs w:val="24"/>
        </w:rPr>
        <w:t>(3), 473–483.</w:t>
      </w:r>
    </w:p>
    <w:p w14:paraId="23FA8D29">
      <w:pPr>
        <w:keepNext w:val="0"/>
        <w:keepLines w:val="0"/>
        <w:widowControl/>
        <w:numPr>
          <w:ilvl w:val="0"/>
          <w:numId w:val="20"/>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MacDonald, J., &amp; Ahearn, W. H. (2015). Teaching observational learning skills to autistic learners. </w:t>
      </w:r>
      <w:r>
        <w:rPr>
          <w:rStyle w:val="8"/>
          <w:rFonts w:hint="default" w:ascii="Times New Roman" w:hAnsi="Times New Roman" w:cs="Times New Roman"/>
          <w:sz w:val="24"/>
          <w:szCs w:val="24"/>
        </w:rPr>
        <w:t>Journal of Applied Behavior Analysis, 48</w:t>
      </w:r>
      <w:r>
        <w:rPr>
          <w:rFonts w:hint="default" w:ascii="Times New Roman" w:hAnsi="Times New Roman" w:cs="Times New Roman"/>
          <w:sz w:val="24"/>
          <w:szCs w:val="24"/>
        </w:rPr>
        <w:t>(4), 800–816.</w:t>
      </w:r>
    </w:p>
    <w:p w14:paraId="5988676D">
      <w:pPr>
        <w:keepNext w:val="0"/>
        <w:keepLines w:val="0"/>
        <w:widowControl/>
        <w:numPr>
          <w:ilvl w:val="0"/>
          <w:numId w:val="20"/>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Richter, M., Taylor, M. K., Lindstedt, T., &amp; Ekdahl, C. T. (2026). Iterative adaptive physical activity for autistic youth. </w:t>
      </w:r>
      <w:r>
        <w:rPr>
          <w:rStyle w:val="8"/>
          <w:rFonts w:hint="default" w:ascii="Times New Roman" w:hAnsi="Times New Roman" w:cs="Times New Roman"/>
          <w:sz w:val="24"/>
          <w:szCs w:val="24"/>
        </w:rPr>
        <w:t>Healthcare, 14</w:t>
      </w:r>
      <w:r>
        <w:rPr>
          <w:rFonts w:hint="default" w:ascii="Times New Roman" w:hAnsi="Times New Roman" w:cs="Times New Roman"/>
          <w:sz w:val="24"/>
          <w:szCs w:val="24"/>
        </w:rPr>
        <w:t>(11), 1502.</w:t>
      </w:r>
    </w:p>
    <w:p w14:paraId="7C979A33">
      <w:pPr>
        <w:keepNext w:val="0"/>
        <w:keepLines w:val="0"/>
        <w:widowControl/>
        <w:numPr>
          <w:ilvl w:val="0"/>
          <w:numId w:val="20"/>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Saadatzi, M. N., Pennington, R. C., &amp; Welch, K. C. (2018). Robot-assisted observational learning for sight words. </w:t>
      </w:r>
      <w:r>
        <w:rPr>
          <w:rStyle w:val="8"/>
          <w:rFonts w:hint="default" w:ascii="Times New Roman" w:hAnsi="Times New Roman" w:cs="Times New Roman"/>
          <w:sz w:val="24"/>
          <w:szCs w:val="24"/>
        </w:rPr>
        <w:t>Journal of Autism and Developmental Disorders, 48</w:t>
      </w:r>
      <w:r>
        <w:rPr>
          <w:rFonts w:hint="default" w:ascii="Times New Roman" w:hAnsi="Times New Roman" w:cs="Times New Roman"/>
          <w:sz w:val="24"/>
          <w:szCs w:val="24"/>
        </w:rPr>
        <w:t>(11), 3816–3830.</w:t>
      </w:r>
    </w:p>
    <w:p w14:paraId="276A7359">
      <w:pPr>
        <w:keepNext w:val="0"/>
        <w:keepLines w:val="0"/>
        <w:widowControl/>
        <w:numPr>
          <w:ilvl w:val="0"/>
          <w:numId w:val="20"/>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Soleiman, P., Moradi, H., &amp; Pouretemad, H. (2023). Robotic social environments to teach emotion recognition via observation. </w:t>
      </w:r>
      <w:r>
        <w:rPr>
          <w:rStyle w:val="8"/>
          <w:rFonts w:hint="default" w:ascii="Times New Roman" w:hAnsi="Times New Roman" w:cs="Times New Roman"/>
          <w:sz w:val="24"/>
          <w:szCs w:val="24"/>
        </w:rPr>
        <w:t>Frontiers in Robotics and AI, 10</w:t>
      </w:r>
      <w:r>
        <w:rPr>
          <w:rFonts w:hint="default" w:ascii="Times New Roman" w:hAnsi="Times New Roman" w:cs="Times New Roman"/>
          <w:sz w:val="24"/>
          <w:szCs w:val="24"/>
        </w:rPr>
        <w:t>.</w:t>
      </w:r>
    </w:p>
    <w:p w14:paraId="535F1D43">
      <w:pPr>
        <w:keepNext w:val="0"/>
        <w:keepLines w:val="0"/>
        <w:widowControl/>
        <w:numPr>
          <w:ilvl w:val="0"/>
          <w:numId w:val="20"/>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Spriggs, A. D., Gast, D. L., &amp; Knight, V. F. (2016). Video modelling for leisure skill acquisition in autism. </w:t>
      </w:r>
      <w:r>
        <w:rPr>
          <w:rStyle w:val="8"/>
          <w:rFonts w:hint="default" w:ascii="Times New Roman" w:hAnsi="Times New Roman" w:cs="Times New Roman"/>
          <w:sz w:val="24"/>
          <w:szCs w:val="24"/>
        </w:rPr>
        <w:t>Journal of Autism and Developmental Disorders, 46</w:t>
      </w:r>
      <w:r>
        <w:rPr>
          <w:rFonts w:hint="default" w:ascii="Times New Roman" w:hAnsi="Times New Roman" w:cs="Times New Roman"/>
          <w:sz w:val="24"/>
          <w:szCs w:val="24"/>
        </w:rPr>
        <w:t>(9), 2845–2858.</w:t>
      </w:r>
    </w:p>
    <w:p w14:paraId="2B38C566">
      <w:pPr>
        <w:keepNext w:val="0"/>
        <w:keepLines w:val="0"/>
        <w:widowControl/>
        <w:numPr>
          <w:ilvl w:val="0"/>
          <w:numId w:val="20"/>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UNESCO. (2022). Global guidelines for inclusive education practice. UNESCO Press.</w:t>
      </w:r>
    </w:p>
    <w:p w14:paraId="15F5EDE6">
      <w:pPr>
        <w:keepNext w:val="0"/>
        <w:keepLines w:val="0"/>
        <w:widowControl/>
        <w:numPr>
          <w:ilvl w:val="0"/>
          <w:numId w:val="20"/>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General Education Teachers’ Research Team. (2024). Mainstream teachers’ barriers to ASD behaviour management. </w:t>
      </w:r>
      <w:r>
        <w:rPr>
          <w:rStyle w:val="8"/>
          <w:rFonts w:hint="default" w:ascii="Times New Roman" w:hAnsi="Times New Roman" w:cs="Times New Roman"/>
          <w:sz w:val="24"/>
          <w:szCs w:val="24"/>
        </w:rPr>
        <w:t>International Journal of Inclusive Education, 28</w:t>
      </w:r>
      <w:r>
        <w:rPr>
          <w:rFonts w:hint="default" w:ascii="Times New Roman" w:hAnsi="Times New Roman" w:cs="Times New Roman"/>
          <w:sz w:val="24"/>
          <w:szCs w:val="24"/>
        </w:rPr>
        <w:t>(5), 612–629.</w:t>
      </w:r>
    </w:p>
    <w:p w14:paraId="7A4CD00F">
      <w:pPr>
        <w:keepNext w:val="0"/>
        <w:keepLines w:val="0"/>
        <w:widowControl/>
        <w:numPr>
          <w:ilvl w:val="0"/>
          <w:numId w:val="20"/>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Preschool Teachers’ Practice Consortium. (2025). Sensory support practices in inclusive preschools. </w:t>
      </w:r>
      <w:r>
        <w:rPr>
          <w:rStyle w:val="8"/>
          <w:rFonts w:hint="default" w:ascii="Times New Roman" w:hAnsi="Times New Roman" w:cs="Times New Roman"/>
          <w:sz w:val="24"/>
          <w:szCs w:val="24"/>
        </w:rPr>
        <w:t>Early Childhood Education Journal, 53</w:t>
      </w:r>
      <w:r>
        <w:rPr>
          <w:rFonts w:hint="default" w:ascii="Times New Roman" w:hAnsi="Times New Roman" w:cs="Times New Roman"/>
          <w:sz w:val="24"/>
          <w:szCs w:val="24"/>
        </w:rPr>
        <w:t>(6), 701–715.</w:t>
      </w:r>
    </w:p>
    <w:p w14:paraId="5A49EB5F">
      <w:pPr>
        <w:keepNext w:val="0"/>
        <w:keepLines w:val="0"/>
        <w:widowControl/>
        <w:numPr>
          <w:ilvl w:val="0"/>
          <w:numId w:val="20"/>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Sleep Disturbances Research Group. (2024). Sensory overload and sleep behaviour in autistic children. </w:t>
      </w:r>
      <w:r>
        <w:rPr>
          <w:rStyle w:val="8"/>
          <w:rFonts w:hint="default" w:ascii="Times New Roman" w:hAnsi="Times New Roman" w:cs="Times New Roman"/>
          <w:sz w:val="24"/>
          <w:szCs w:val="24"/>
        </w:rPr>
        <w:t>Journal of Developmental Disabilities, 30</w:t>
      </w:r>
      <w:r>
        <w:rPr>
          <w:rFonts w:hint="default" w:ascii="Times New Roman" w:hAnsi="Times New Roman" w:cs="Times New Roman"/>
          <w:sz w:val="24"/>
          <w:szCs w:val="24"/>
        </w:rPr>
        <w:t>(2), 89–104.</w:t>
      </w:r>
    </w:p>
    <w:p w14:paraId="58C123BE">
      <w:pPr>
        <w:keepNext w:val="0"/>
        <w:keepLines w:val="0"/>
        <w:widowControl/>
        <w:numPr>
          <w:ilvl w:val="0"/>
          <w:numId w:val="20"/>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Parental Involvement Research Collective. (2026). Home-school sensory intervention collaboration for ASD. </w:t>
      </w:r>
      <w:r>
        <w:rPr>
          <w:rStyle w:val="8"/>
          <w:rFonts w:hint="default" w:ascii="Times New Roman" w:hAnsi="Times New Roman" w:cs="Times New Roman"/>
          <w:sz w:val="24"/>
          <w:szCs w:val="24"/>
        </w:rPr>
        <w:t>Family and Community Health, 49</w:t>
      </w:r>
      <w:r>
        <w:rPr>
          <w:rFonts w:hint="default" w:ascii="Times New Roman" w:hAnsi="Times New Roman" w:cs="Times New Roman"/>
          <w:sz w:val="24"/>
          <w:szCs w:val="24"/>
        </w:rPr>
        <w:t>(3), 156–168.</w:t>
      </w:r>
    </w:p>
    <w:p w14:paraId="55DB83AA">
      <w:pPr>
        <w:keepNext w:val="0"/>
        <w:keepLines w:val="0"/>
        <w:widowControl/>
        <w:numPr>
          <w:ilvl w:val="0"/>
          <w:numId w:val="20"/>
        </w:numPr>
        <w:suppressLineNumbers w:val="0"/>
        <w:spacing w:before="0" w:beforeAutospacing="1" w:after="0" w:afterAutospacing="1"/>
        <w:ind w:left="720" w:hanging="360"/>
        <w:rPr>
          <w:rFonts w:hint="default" w:ascii="Times New Roman" w:hAnsi="Times New Roman" w:cs="Times New Roman"/>
          <w:sz w:val="24"/>
          <w:szCs w:val="24"/>
        </w:rPr>
      </w:pPr>
      <w:r>
        <w:rPr>
          <w:rFonts w:hint="default" w:ascii="Times New Roman" w:hAnsi="Times New Roman" w:cs="Times New Roman"/>
          <w:sz w:val="24"/>
          <w:szCs w:val="24"/>
        </w:rPr>
        <w:t xml:space="preserve">The Physical Activity Effect Research Group. (2026). Daily movement and repetitive behaviours in autistic adolescents with ADHD comorbidity. </w:t>
      </w:r>
      <w:r>
        <w:rPr>
          <w:rStyle w:val="8"/>
          <w:rFonts w:hint="default" w:ascii="Times New Roman" w:hAnsi="Times New Roman" w:cs="Times New Roman"/>
          <w:sz w:val="24"/>
          <w:szCs w:val="24"/>
        </w:rPr>
        <w:t>Adapted Physical Activity Quarterly, 43</w:t>
      </w:r>
      <w:r>
        <w:rPr>
          <w:rFonts w:hint="default" w:ascii="Times New Roman" w:hAnsi="Times New Roman" w:cs="Times New Roman"/>
          <w:sz w:val="24"/>
          <w:szCs w:val="24"/>
        </w:rPr>
        <w:t>(2), 142–159.</w:t>
      </w:r>
    </w:p>
    <w:p w14:paraId="6861F359">
      <w:pPr>
        <w:rPr>
          <w:rFonts w:hint="default" w:ascii="Times New Roman" w:hAnsi="Times New Roman" w:cs="Times New Roman"/>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ymbol">
    <w:panose1 w:val="05050102010706020507"/>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1194A8"/>
    <w:multiLevelType w:val="multilevel"/>
    <w:tmpl w:val="841194A8"/>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
    <w:nsid w:val="84249C9E"/>
    <w:multiLevelType w:val="multilevel"/>
    <w:tmpl w:val="84249C9E"/>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2">
    <w:nsid w:val="9414D76F"/>
    <w:multiLevelType w:val="multilevel"/>
    <w:tmpl w:val="9414D76F"/>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3">
    <w:nsid w:val="985316BC"/>
    <w:multiLevelType w:val="multilevel"/>
    <w:tmpl w:val="985316BC"/>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4">
    <w:nsid w:val="A46C91CD"/>
    <w:multiLevelType w:val="multilevel"/>
    <w:tmpl w:val="A46C91CD"/>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5">
    <w:nsid w:val="B33F5A16"/>
    <w:multiLevelType w:val="multilevel"/>
    <w:tmpl w:val="B33F5A16"/>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6">
    <w:nsid w:val="E23E77FB"/>
    <w:multiLevelType w:val="multilevel"/>
    <w:tmpl w:val="E23E77FB"/>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7">
    <w:nsid w:val="E4DC0148"/>
    <w:multiLevelType w:val="multilevel"/>
    <w:tmpl w:val="E4DC0148"/>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8">
    <w:nsid w:val="F812C736"/>
    <w:multiLevelType w:val="multilevel"/>
    <w:tmpl w:val="F812C736"/>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9">
    <w:nsid w:val="F8F499C8"/>
    <w:multiLevelType w:val="multilevel"/>
    <w:tmpl w:val="F8F499C8"/>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0">
    <w:nsid w:val="0625D0E4"/>
    <w:multiLevelType w:val="multilevel"/>
    <w:tmpl w:val="0625D0E4"/>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1">
    <w:nsid w:val="08F4F17C"/>
    <w:multiLevelType w:val="multilevel"/>
    <w:tmpl w:val="08F4F17C"/>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
      <w:lvlJc w:val="left"/>
      <w:pPr>
        <w:tabs>
          <w:tab w:val="left" w:pos="1440"/>
        </w:tabs>
        <w:ind w:left="1440" w:hanging="360"/>
      </w:pPr>
      <w:rPr>
        <w:rFonts w:hint="default" w:ascii="Symbol" w:hAnsi="Symbol" w:cs="Symbol"/>
        <w:sz w:val="20"/>
      </w:rPr>
    </w:lvl>
    <w:lvl w:ilvl="2" w:tentative="0">
      <w:start w:val="1"/>
      <w:numFmt w:val="bullet"/>
      <w:lvlText w:val=""/>
      <w:lvlJc w:val="left"/>
      <w:pPr>
        <w:tabs>
          <w:tab w:val="left" w:pos="2160"/>
        </w:tabs>
        <w:ind w:left="2160" w:hanging="360"/>
      </w:pPr>
      <w:rPr>
        <w:rFonts w:hint="default" w:ascii="Symbol" w:hAnsi="Symbol" w:cs="Symbol"/>
        <w:sz w:val="20"/>
      </w:rPr>
    </w:lvl>
    <w:lvl w:ilvl="3" w:tentative="0">
      <w:start w:val="1"/>
      <w:numFmt w:val="bullet"/>
      <w:lvlText w:val=""/>
      <w:lvlJc w:val="left"/>
      <w:pPr>
        <w:tabs>
          <w:tab w:val="left" w:pos="2880"/>
        </w:tabs>
        <w:ind w:left="2880" w:hanging="360"/>
      </w:pPr>
      <w:rPr>
        <w:rFonts w:hint="default" w:ascii="Symbol" w:hAnsi="Symbol" w:cs="Symbol"/>
        <w:sz w:val="20"/>
      </w:rPr>
    </w:lvl>
    <w:lvl w:ilvl="4" w:tentative="0">
      <w:start w:val="1"/>
      <w:numFmt w:val="bullet"/>
      <w:lvlText w:val=""/>
      <w:lvlJc w:val="left"/>
      <w:pPr>
        <w:tabs>
          <w:tab w:val="left" w:pos="3600"/>
        </w:tabs>
        <w:ind w:left="3600" w:hanging="360"/>
      </w:pPr>
      <w:rPr>
        <w:rFonts w:hint="default" w:ascii="Symbol" w:hAnsi="Symbol" w:cs="Symbol"/>
        <w:sz w:val="20"/>
      </w:rPr>
    </w:lvl>
    <w:lvl w:ilvl="5" w:tentative="0">
      <w:start w:val="1"/>
      <w:numFmt w:val="bullet"/>
      <w:lvlText w:val=""/>
      <w:lvlJc w:val="left"/>
      <w:pPr>
        <w:tabs>
          <w:tab w:val="left" w:pos="4320"/>
        </w:tabs>
        <w:ind w:left="4320" w:hanging="360"/>
      </w:pPr>
      <w:rPr>
        <w:rFonts w:hint="default" w:ascii="Symbol" w:hAnsi="Symbol" w:cs="Symbol"/>
        <w:sz w:val="20"/>
      </w:rPr>
    </w:lvl>
    <w:lvl w:ilvl="6" w:tentative="0">
      <w:start w:val="1"/>
      <w:numFmt w:val="bullet"/>
      <w:lvlText w:val=""/>
      <w:lvlJc w:val="left"/>
      <w:pPr>
        <w:tabs>
          <w:tab w:val="left" w:pos="5040"/>
        </w:tabs>
        <w:ind w:left="5040" w:hanging="360"/>
      </w:pPr>
      <w:rPr>
        <w:rFonts w:hint="default" w:ascii="Symbol" w:hAnsi="Symbol" w:cs="Symbol"/>
        <w:sz w:val="20"/>
      </w:rPr>
    </w:lvl>
    <w:lvl w:ilvl="7" w:tentative="0">
      <w:start w:val="1"/>
      <w:numFmt w:val="bullet"/>
      <w:lvlText w:val=""/>
      <w:lvlJc w:val="left"/>
      <w:pPr>
        <w:tabs>
          <w:tab w:val="left" w:pos="5760"/>
        </w:tabs>
        <w:ind w:left="5760" w:hanging="360"/>
      </w:pPr>
      <w:rPr>
        <w:rFonts w:hint="default" w:ascii="Symbol" w:hAnsi="Symbol" w:cs="Symbol"/>
        <w:sz w:val="20"/>
      </w:rPr>
    </w:lvl>
    <w:lvl w:ilvl="8" w:tentative="0">
      <w:start w:val="1"/>
      <w:numFmt w:val="bullet"/>
      <w:lvlText w:val=""/>
      <w:lvlJc w:val="left"/>
      <w:pPr>
        <w:tabs>
          <w:tab w:val="left" w:pos="6480"/>
        </w:tabs>
        <w:ind w:left="6480" w:hanging="360"/>
      </w:pPr>
      <w:rPr>
        <w:rFonts w:hint="default" w:ascii="Symbol" w:hAnsi="Symbol" w:cs="Symbol"/>
        <w:sz w:val="20"/>
      </w:rPr>
    </w:lvl>
  </w:abstractNum>
  <w:abstractNum w:abstractNumId="12">
    <w:nsid w:val="097843DB"/>
    <w:multiLevelType w:val="multilevel"/>
    <w:tmpl w:val="097843DB"/>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3">
    <w:nsid w:val="0C1A54DD"/>
    <w:multiLevelType w:val="multilevel"/>
    <w:tmpl w:val="0C1A54DD"/>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4">
    <w:nsid w:val="348BFE60"/>
    <w:multiLevelType w:val="multilevel"/>
    <w:tmpl w:val="348BFE60"/>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5">
    <w:nsid w:val="3DB44CEE"/>
    <w:multiLevelType w:val="multilevel"/>
    <w:tmpl w:val="3DB44CEE"/>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6">
    <w:nsid w:val="5427AE11"/>
    <w:multiLevelType w:val="multilevel"/>
    <w:tmpl w:val="5427AE11"/>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7">
    <w:nsid w:val="56C6E1B4"/>
    <w:multiLevelType w:val="multilevel"/>
    <w:tmpl w:val="56C6E1B4"/>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8">
    <w:nsid w:val="5EC08B86"/>
    <w:multiLevelType w:val="multilevel"/>
    <w:tmpl w:val="5EC08B86"/>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abstractNum w:abstractNumId="19">
    <w:nsid w:val="62000229"/>
    <w:multiLevelType w:val="multilevel"/>
    <w:tmpl w:val="62000229"/>
    <w:lvl w:ilvl="0" w:tentative="0">
      <w:start w:val="1"/>
      <w:numFmt w:val="decimal"/>
      <w:lvlText w:val="%1."/>
      <w:lvlJc w:val="left"/>
      <w:pPr>
        <w:tabs>
          <w:tab w:val="left" w:pos="720"/>
        </w:tabs>
        <w:ind w:left="720" w:hanging="360"/>
      </w:pPr>
      <w:rPr>
        <w:sz w:val="24"/>
        <w:szCs w:val="24"/>
      </w:rPr>
    </w:lvl>
    <w:lvl w:ilvl="1" w:tentative="0">
      <w:start w:val="1"/>
      <w:numFmt w:val="decimal"/>
      <w:lvlText w:val="%2."/>
      <w:lvlJc w:val="left"/>
      <w:pPr>
        <w:tabs>
          <w:tab w:val="left" w:pos="1440"/>
        </w:tabs>
        <w:ind w:left="1440" w:hanging="360"/>
      </w:pPr>
      <w:rPr>
        <w:sz w:val="24"/>
        <w:szCs w:val="24"/>
      </w:rPr>
    </w:lvl>
    <w:lvl w:ilvl="2" w:tentative="0">
      <w:start w:val="1"/>
      <w:numFmt w:val="decimal"/>
      <w:lvlText w:val="%3."/>
      <w:lvlJc w:val="left"/>
      <w:pPr>
        <w:tabs>
          <w:tab w:val="left" w:pos="2160"/>
        </w:tabs>
        <w:ind w:left="2160" w:hanging="360"/>
      </w:pPr>
      <w:rPr>
        <w:sz w:val="24"/>
        <w:szCs w:val="24"/>
      </w:rPr>
    </w:lvl>
    <w:lvl w:ilvl="3" w:tentative="0">
      <w:start w:val="1"/>
      <w:numFmt w:val="decimal"/>
      <w:lvlText w:val="%4."/>
      <w:lvlJc w:val="left"/>
      <w:pPr>
        <w:tabs>
          <w:tab w:val="left" w:pos="2517"/>
        </w:tabs>
        <w:ind w:left="2880" w:hanging="360"/>
      </w:pPr>
      <w:rPr>
        <w:sz w:val="24"/>
        <w:szCs w:val="24"/>
      </w:rPr>
    </w:lvl>
    <w:lvl w:ilvl="4" w:tentative="0">
      <w:start w:val="1"/>
      <w:numFmt w:val="decimal"/>
      <w:lvlText w:val="%5."/>
      <w:lvlJc w:val="left"/>
      <w:pPr>
        <w:tabs>
          <w:tab w:val="left" w:pos="3238"/>
        </w:tabs>
        <w:ind w:left="3600" w:hanging="360"/>
      </w:pPr>
      <w:rPr>
        <w:sz w:val="24"/>
        <w:szCs w:val="24"/>
      </w:rPr>
    </w:lvl>
    <w:lvl w:ilvl="5" w:tentative="0">
      <w:start w:val="1"/>
      <w:numFmt w:val="decimal"/>
      <w:lvlText w:val="%6."/>
      <w:lvlJc w:val="left"/>
      <w:pPr>
        <w:tabs>
          <w:tab w:val="left" w:pos="3958"/>
        </w:tabs>
        <w:ind w:left="4320" w:hanging="360"/>
      </w:pPr>
      <w:rPr>
        <w:sz w:val="24"/>
        <w:szCs w:val="24"/>
      </w:rPr>
    </w:lvl>
    <w:lvl w:ilvl="6" w:tentative="0">
      <w:start w:val="1"/>
      <w:numFmt w:val="decimal"/>
      <w:lvlText w:val="%7."/>
      <w:lvlJc w:val="left"/>
      <w:pPr>
        <w:tabs>
          <w:tab w:val="left" w:pos="4678"/>
        </w:tabs>
        <w:ind w:left="5040" w:hanging="360"/>
      </w:pPr>
      <w:rPr>
        <w:sz w:val="24"/>
        <w:szCs w:val="24"/>
      </w:rPr>
    </w:lvl>
    <w:lvl w:ilvl="7" w:tentative="0">
      <w:start w:val="1"/>
      <w:numFmt w:val="decimal"/>
      <w:lvlText w:val="%8."/>
      <w:lvlJc w:val="left"/>
      <w:pPr>
        <w:tabs>
          <w:tab w:val="left" w:pos="5398"/>
        </w:tabs>
        <w:ind w:left="5760" w:hanging="360"/>
      </w:pPr>
      <w:rPr>
        <w:sz w:val="24"/>
        <w:szCs w:val="24"/>
      </w:rPr>
    </w:lvl>
    <w:lvl w:ilvl="8" w:tentative="0">
      <w:start w:val="1"/>
      <w:numFmt w:val="decimal"/>
      <w:lvlText w:val="%9."/>
      <w:lvlJc w:val="left"/>
      <w:pPr>
        <w:tabs>
          <w:tab w:val="left" w:pos="6118"/>
        </w:tabs>
        <w:ind w:left="6480" w:hanging="360"/>
      </w:pPr>
      <w:rPr>
        <w:sz w:val="24"/>
        <w:szCs w:val="24"/>
      </w:rPr>
    </w:lvl>
  </w:abstractNum>
  <w:num w:numId="1">
    <w:abstractNumId w:val="16"/>
  </w:num>
  <w:num w:numId="2">
    <w:abstractNumId w:val="0"/>
  </w:num>
  <w:num w:numId="3">
    <w:abstractNumId w:val="18"/>
  </w:num>
  <w:num w:numId="4">
    <w:abstractNumId w:val="15"/>
  </w:num>
  <w:num w:numId="5">
    <w:abstractNumId w:val="6"/>
  </w:num>
  <w:num w:numId="6">
    <w:abstractNumId w:val="4"/>
  </w:num>
  <w:num w:numId="7">
    <w:abstractNumId w:val="19"/>
  </w:num>
  <w:num w:numId="8">
    <w:abstractNumId w:val="9"/>
  </w:num>
  <w:num w:numId="9">
    <w:abstractNumId w:val="2"/>
  </w:num>
  <w:num w:numId="10">
    <w:abstractNumId w:val="17"/>
  </w:num>
  <w:num w:numId="11">
    <w:abstractNumId w:val="7"/>
  </w:num>
  <w:num w:numId="12">
    <w:abstractNumId w:val="13"/>
  </w:num>
  <w:num w:numId="13">
    <w:abstractNumId w:val="11"/>
  </w:num>
  <w:num w:numId="14">
    <w:abstractNumId w:val="8"/>
  </w:num>
  <w:num w:numId="15">
    <w:abstractNumId w:val="1"/>
  </w:num>
  <w:num w:numId="16">
    <w:abstractNumId w:val="14"/>
  </w:num>
  <w:num w:numId="17">
    <w:abstractNumId w:val="12"/>
  </w:num>
  <w:num w:numId="18">
    <w:abstractNumId w:val="10"/>
  </w:num>
  <w:num w:numId="19">
    <w:abstractNumId w:val="5"/>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27753"/>
    <w:rsid w:val="00041D15"/>
    <w:rsid w:val="002F44C0"/>
    <w:rsid w:val="004803AD"/>
    <w:rsid w:val="005C3D47"/>
    <w:rsid w:val="00923A84"/>
    <w:rsid w:val="015C6C41"/>
    <w:rsid w:val="01FF7650"/>
    <w:rsid w:val="02514661"/>
    <w:rsid w:val="02A710B3"/>
    <w:rsid w:val="02EB403D"/>
    <w:rsid w:val="02FB7E22"/>
    <w:rsid w:val="035774DD"/>
    <w:rsid w:val="037066C0"/>
    <w:rsid w:val="04A20C28"/>
    <w:rsid w:val="04B4433A"/>
    <w:rsid w:val="053561B7"/>
    <w:rsid w:val="05511762"/>
    <w:rsid w:val="057B3866"/>
    <w:rsid w:val="05962AA0"/>
    <w:rsid w:val="05A920AC"/>
    <w:rsid w:val="05BB6C1C"/>
    <w:rsid w:val="060A04C8"/>
    <w:rsid w:val="06270DB3"/>
    <w:rsid w:val="067338BC"/>
    <w:rsid w:val="067A15E8"/>
    <w:rsid w:val="06D632CB"/>
    <w:rsid w:val="06E63C75"/>
    <w:rsid w:val="06FD35CF"/>
    <w:rsid w:val="073A6660"/>
    <w:rsid w:val="07420906"/>
    <w:rsid w:val="07772669"/>
    <w:rsid w:val="089144F5"/>
    <w:rsid w:val="0891655E"/>
    <w:rsid w:val="08AE74E7"/>
    <w:rsid w:val="09084FAF"/>
    <w:rsid w:val="0A333303"/>
    <w:rsid w:val="0AA87CD5"/>
    <w:rsid w:val="0ABC1AFF"/>
    <w:rsid w:val="0AD804BE"/>
    <w:rsid w:val="0B4473EB"/>
    <w:rsid w:val="0B770E5E"/>
    <w:rsid w:val="0BE27A58"/>
    <w:rsid w:val="0C115CC4"/>
    <w:rsid w:val="0CB41C69"/>
    <w:rsid w:val="0CB4688C"/>
    <w:rsid w:val="0CC129C6"/>
    <w:rsid w:val="0CD968FA"/>
    <w:rsid w:val="0D11459E"/>
    <w:rsid w:val="0D334FB2"/>
    <w:rsid w:val="0D4E5810"/>
    <w:rsid w:val="0D69522E"/>
    <w:rsid w:val="0DF420BB"/>
    <w:rsid w:val="0DF80D7C"/>
    <w:rsid w:val="0DFB2B96"/>
    <w:rsid w:val="0E113645"/>
    <w:rsid w:val="0E162E33"/>
    <w:rsid w:val="0E3C2E97"/>
    <w:rsid w:val="0E5878D5"/>
    <w:rsid w:val="0E826749"/>
    <w:rsid w:val="0E8F2C18"/>
    <w:rsid w:val="0EB3282D"/>
    <w:rsid w:val="0EDA2642"/>
    <w:rsid w:val="0EF4760C"/>
    <w:rsid w:val="0F0B5058"/>
    <w:rsid w:val="0F1C5BF0"/>
    <w:rsid w:val="0F2B61EE"/>
    <w:rsid w:val="0F891B75"/>
    <w:rsid w:val="0FED3362"/>
    <w:rsid w:val="10093311"/>
    <w:rsid w:val="10AE558D"/>
    <w:rsid w:val="10FF1950"/>
    <w:rsid w:val="11222F31"/>
    <w:rsid w:val="11490527"/>
    <w:rsid w:val="11C76270"/>
    <w:rsid w:val="12233EBE"/>
    <w:rsid w:val="12744693"/>
    <w:rsid w:val="12873CEC"/>
    <w:rsid w:val="12906B67"/>
    <w:rsid w:val="12943E15"/>
    <w:rsid w:val="12A24911"/>
    <w:rsid w:val="12C12C69"/>
    <w:rsid w:val="131F2336"/>
    <w:rsid w:val="132574EF"/>
    <w:rsid w:val="132D5588"/>
    <w:rsid w:val="144C5B26"/>
    <w:rsid w:val="1457028E"/>
    <w:rsid w:val="14975FC6"/>
    <w:rsid w:val="14AF166E"/>
    <w:rsid w:val="14DF4931"/>
    <w:rsid w:val="15235509"/>
    <w:rsid w:val="152F7628"/>
    <w:rsid w:val="154B0581"/>
    <w:rsid w:val="159E08BD"/>
    <w:rsid w:val="15C67906"/>
    <w:rsid w:val="16183D7E"/>
    <w:rsid w:val="16AA4303"/>
    <w:rsid w:val="172061C0"/>
    <w:rsid w:val="17E25E13"/>
    <w:rsid w:val="18416B80"/>
    <w:rsid w:val="184A56D3"/>
    <w:rsid w:val="188F0251"/>
    <w:rsid w:val="18B40E07"/>
    <w:rsid w:val="18BC150E"/>
    <w:rsid w:val="190165E1"/>
    <w:rsid w:val="19135473"/>
    <w:rsid w:val="193F3F89"/>
    <w:rsid w:val="19752B29"/>
    <w:rsid w:val="19CA53FA"/>
    <w:rsid w:val="19DB1350"/>
    <w:rsid w:val="19FD668F"/>
    <w:rsid w:val="1A202977"/>
    <w:rsid w:val="1A2C532E"/>
    <w:rsid w:val="1AAD750E"/>
    <w:rsid w:val="1ACA2DF7"/>
    <w:rsid w:val="1ACB7AE9"/>
    <w:rsid w:val="1ADB1C88"/>
    <w:rsid w:val="1B5D7D33"/>
    <w:rsid w:val="1B966FC0"/>
    <w:rsid w:val="1C182B95"/>
    <w:rsid w:val="1C370CB2"/>
    <w:rsid w:val="1C406BC1"/>
    <w:rsid w:val="1CA51F38"/>
    <w:rsid w:val="1CC3036C"/>
    <w:rsid w:val="1D326A32"/>
    <w:rsid w:val="1DAB63AE"/>
    <w:rsid w:val="1DC32BFE"/>
    <w:rsid w:val="1E327D42"/>
    <w:rsid w:val="1E3876B7"/>
    <w:rsid w:val="1E410A3A"/>
    <w:rsid w:val="1EA61285"/>
    <w:rsid w:val="1F812658"/>
    <w:rsid w:val="1FB559CC"/>
    <w:rsid w:val="1FB66908"/>
    <w:rsid w:val="1FB9262F"/>
    <w:rsid w:val="1FC85C27"/>
    <w:rsid w:val="1FD43517"/>
    <w:rsid w:val="205E40D8"/>
    <w:rsid w:val="209638D5"/>
    <w:rsid w:val="209D75E3"/>
    <w:rsid w:val="210D7303"/>
    <w:rsid w:val="21800870"/>
    <w:rsid w:val="22093813"/>
    <w:rsid w:val="2281026B"/>
    <w:rsid w:val="235042A0"/>
    <w:rsid w:val="24060F3A"/>
    <w:rsid w:val="24224BA0"/>
    <w:rsid w:val="24395D65"/>
    <w:rsid w:val="243D0CCF"/>
    <w:rsid w:val="24964E80"/>
    <w:rsid w:val="24A45410"/>
    <w:rsid w:val="24C11F34"/>
    <w:rsid w:val="24C70687"/>
    <w:rsid w:val="25312133"/>
    <w:rsid w:val="253D5817"/>
    <w:rsid w:val="255A38CC"/>
    <w:rsid w:val="26033093"/>
    <w:rsid w:val="262718DA"/>
    <w:rsid w:val="26300830"/>
    <w:rsid w:val="26446C9A"/>
    <w:rsid w:val="264C0FAB"/>
    <w:rsid w:val="26681E83"/>
    <w:rsid w:val="26E640B5"/>
    <w:rsid w:val="26FA7E07"/>
    <w:rsid w:val="273F4DE4"/>
    <w:rsid w:val="274C4C3B"/>
    <w:rsid w:val="28181D35"/>
    <w:rsid w:val="283E6EF1"/>
    <w:rsid w:val="285D34A8"/>
    <w:rsid w:val="28D93CC6"/>
    <w:rsid w:val="29A25394"/>
    <w:rsid w:val="2A1335D9"/>
    <w:rsid w:val="2A1B0660"/>
    <w:rsid w:val="2A337008"/>
    <w:rsid w:val="2A7D77C9"/>
    <w:rsid w:val="2AB14E23"/>
    <w:rsid w:val="2AB92411"/>
    <w:rsid w:val="2AD840AC"/>
    <w:rsid w:val="2AE705C6"/>
    <w:rsid w:val="2B033061"/>
    <w:rsid w:val="2B285F9E"/>
    <w:rsid w:val="2B416987"/>
    <w:rsid w:val="2B43554D"/>
    <w:rsid w:val="2B65513B"/>
    <w:rsid w:val="2B6B3DBE"/>
    <w:rsid w:val="2B8261B0"/>
    <w:rsid w:val="2B842844"/>
    <w:rsid w:val="2BC950EE"/>
    <w:rsid w:val="2BD1149B"/>
    <w:rsid w:val="2C285DD6"/>
    <w:rsid w:val="2C5D31C2"/>
    <w:rsid w:val="2C8B41B3"/>
    <w:rsid w:val="2CF61C08"/>
    <w:rsid w:val="2CFB50B1"/>
    <w:rsid w:val="2D010302"/>
    <w:rsid w:val="2D22376F"/>
    <w:rsid w:val="2D493035"/>
    <w:rsid w:val="2D5D6C2A"/>
    <w:rsid w:val="2DF4360A"/>
    <w:rsid w:val="2E363948"/>
    <w:rsid w:val="2E61295F"/>
    <w:rsid w:val="2EDB3B23"/>
    <w:rsid w:val="2EEA43B0"/>
    <w:rsid w:val="2F10022F"/>
    <w:rsid w:val="2F2857B0"/>
    <w:rsid w:val="2F4B1E0E"/>
    <w:rsid w:val="2FAB4025"/>
    <w:rsid w:val="2FB234CB"/>
    <w:rsid w:val="2FE34E36"/>
    <w:rsid w:val="301208C3"/>
    <w:rsid w:val="301A331E"/>
    <w:rsid w:val="30297EAA"/>
    <w:rsid w:val="303223C5"/>
    <w:rsid w:val="305C6756"/>
    <w:rsid w:val="30790221"/>
    <w:rsid w:val="307A1A25"/>
    <w:rsid w:val="30CF12A2"/>
    <w:rsid w:val="313971B2"/>
    <w:rsid w:val="315F2D2A"/>
    <w:rsid w:val="316968C9"/>
    <w:rsid w:val="31972E98"/>
    <w:rsid w:val="31AB7776"/>
    <w:rsid w:val="31B13BD6"/>
    <w:rsid w:val="31BA09A1"/>
    <w:rsid w:val="31C637B3"/>
    <w:rsid w:val="31E1316D"/>
    <w:rsid w:val="329B0F2C"/>
    <w:rsid w:val="32F867AD"/>
    <w:rsid w:val="336D2238"/>
    <w:rsid w:val="33775AEE"/>
    <w:rsid w:val="339D682F"/>
    <w:rsid w:val="33FF64FD"/>
    <w:rsid w:val="347251BD"/>
    <w:rsid w:val="348B2451"/>
    <w:rsid w:val="348F5EBC"/>
    <w:rsid w:val="34E432C8"/>
    <w:rsid w:val="354A4E9D"/>
    <w:rsid w:val="35503A77"/>
    <w:rsid w:val="3560043E"/>
    <w:rsid w:val="35647E5E"/>
    <w:rsid w:val="357042F4"/>
    <w:rsid w:val="358E062C"/>
    <w:rsid w:val="358E78D1"/>
    <w:rsid w:val="35F42EB6"/>
    <w:rsid w:val="36540462"/>
    <w:rsid w:val="3698387F"/>
    <w:rsid w:val="36BF1C89"/>
    <w:rsid w:val="36C4368E"/>
    <w:rsid w:val="3857216B"/>
    <w:rsid w:val="38787EED"/>
    <w:rsid w:val="3A083B7F"/>
    <w:rsid w:val="3A103B27"/>
    <w:rsid w:val="3A383E4C"/>
    <w:rsid w:val="3A3A5FE8"/>
    <w:rsid w:val="3A421DF1"/>
    <w:rsid w:val="3A497D44"/>
    <w:rsid w:val="3A5016F8"/>
    <w:rsid w:val="3A611F06"/>
    <w:rsid w:val="3A6213BC"/>
    <w:rsid w:val="3A881E65"/>
    <w:rsid w:val="3AF94EE4"/>
    <w:rsid w:val="3B1D7AAF"/>
    <w:rsid w:val="3B946619"/>
    <w:rsid w:val="3BAD1A9D"/>
    <w:rsid w:val="3C0E7FA6"/>
    <w:rsid w:val="3C2013D4"/>
    <w:rsid w:val="3C4C22E6"/>
    <w:rsid w:val="3C503283"/>
    <w:rsid w:val="3C9A2C78"/>
    <w:rsid w:val="3CF7709A"/>
    <w:rsid w:val="3D3533AE"/>
    <w:rsid w:val="3D3B077A"/>
    <w:rsid w:val="3D850798"/>
    <w:rsid w:val="3E337943"/>
    <w:rsid w:val="3E467869"/>
    <w:rsid w:val="3E9A648F"/>
    <w:rsid w:val="3EA2160F"/>
    <w:rsid w:val="3F4E0BA3"/>
    <w:rsid w:val="3F4F7381"/>
    <w:rsid w:val="3F760707"/>
    <w:rsid w:val="3FAC5B4F"/>
    <w:rsid w:val="3FC819C5"/>
    <w:rsid w:val="3FF342D3"/>
    <w:rsid w:val="3FFA6D0B"/>
    <w:rsid w:val="402339E9"/>
    <w:rsid w:val="40291827"/>
    <w:rsid w:val="405C5654"/>
    <w:rsid w:val="4066071A"/>
    <w:rsid w:val="40E33DDC"/>
    <w:rsid w:val="414049E3"/>
    <w:rsid w:val="418A52C2"/>
    <w:rsid w:val="4198171F"/>
    <w:rsid w:val="42084E8C"/>
    <w:rsid w:val="4219649F"/>
    <w:rsid w:val="42CC16F0"/>
    <w:rsid w:val="42FA00F6"/>
    <w:rsid w:val="43712067"/>
    <w:rsid w:val="43E0456D"/>
    <w:rsid w:val="43F00399"/>
    <w:rsid w:val="43F876C6"/>
    <w:rsid w:val="43F96FAA"/>
    <w:rsid w:val="44175486"/>
    <w:rsid w:val="44255362"/>
    <w:rsid w:val="4454484D"/>
    <w:rsid w:val="44571700"/>
    <w:rsid w:val="44754AAC"/>
    <w:rsid w:val="449513D7"/>
    <w:rsid w:val="458C1813"/>
    <w:rsid w:val="459C153C"/>
    <w:rsid w:val="45A83718"/>
    <w:rsid w:val="45B129D1"/>
    <w:rsid w:val="460D6FBC"/>
    <w:rsid w:val="46494104"/>
    <w:rsid w:val="464B7B94"/>
    <w:rsid w:val="46DB1B5D"/>
    <w:rsid w:val="46E304F4"/>
    <w:rsid w:val="47387084"/>
    <w:rsid w:val="474B4ECE"/>
    <w:rsid w:val="47771F2A"/>
    <w:rsid w:val="47AB2930"/>
    <w:rsid w:val="47C17854"/>
    <w:rsid w:val="47D96DC2"/>
    <w:rsid w:val="490456BD"/>
    <w:rsid w:val="49065BD3"/>
    <w:rsid w:val="49280EB3"/>
    <w:rsid w:val="49CD5922"/>
    <w:rsid w:val="49EE6C7B"/>
    <w:rsid w:val="4A2B102C"/>
    <w:rsid w:val="4A524656"/>
    <w:rsid w:val="4ADB79B0"/>
    <w:rsid w:val="4AF863A1"/>
    <w:rsid w:val="4AFE543C"/>
    <w:rsid w:val="4B5B6FA4"/>
    <w:rsid w:val="4C0D101F"/>
    <w:rsid w:val="4C476142"/>
    <w:rsid w:val="4C562740"/>
    <w:rsid w:val="4C6D5BE6"/>
    <w:rsid w:val="4C7D3EDB"/>
    <w:rsid w:val="4C890E80"/>
    <w:rsid w:val="4CD309BC"/>
    <w:rsid w:val="4D07276C"/>
    <w:rsid w:val="4D5A56D8"/>
    <w:rsid w:val="4DAA1FC5"/>
    <w:rsid w:val="4DAC66DE"/>
    <w:rsid w:val="4DCB0E7E"/>
    <w:rsid w:val="4DD772A8"/>
    <w:rsid w:val="4DFB3F54"/>
    <w:rsid w:val="4E6426C4"/>
    <w:rsid w:val="4EA510DA"/>
    <w:rsid w:val="4F1F604E"/>
    <w:rsid w:val="4FD156E2"/>
    <w:rsid w:val="50662431"/>
    <w:rsid w:val="50BC6333"/>
    <w:rsid w:val="5117240B"/>
    <w:rsid w:val="51351AE5"/>
    <w:rsid w:val="5139227B"/>
    <w:rsid w:val="517719EC"/>
    <w:rsid w:val="51B60118"/>
    <w:rsid w:val="51D051A9"/>
    <w:rsid w:val="51E75E1A"/>
    <w:rsid w:val="52124102"/>
    <w:rsid w:val="525B29FA"/>
    <w:rsid w:val="52680377"/>
    <w:rsid w:val="52AC710A"/>
    <w:rsid w:val="536059C9"/>
    <w:rsid w:val="536963DE"/>
    <w:rsid w:val="53833F31"/>
    <w:rsid w:val="53AE6966"/>
    <w:rsid w:val="546E099C"/>
    <w:rsid w:val="54734CCB"/>
    <w:rsid w:val="547E3028"/>
    <w:rsid w:val="54E32696"/>
    <w:rsid w:val="55027F7F"/>
    <w:rsid w:val="555025F5"/>
    <w:rsid w:val="559A48D6"/>
    <w:rsid w:val="55B6502A"/>
    <w:rsid w:val="5668563F"/>
    <w:rsid w:val="566C52C9"/>
    <w:rsid w:val="566C7730"/>
    <w:rsid w:val="567627D9"/>
    <w:rsid w:val="56814911"/>
    <w:rsid w:val="56A5299D"/>
    <w:rsid w:val="56EC7DCF"/>
    <w:rsid w:val="57497AAA"/>
    <w:rsid w:val="5758222A"/>
    <w:rsid w:val="579E7C19"/>
    <w:rsid w:val="581602EF"/>
    <w:rsid w:val="581E4031"/>
    <w:rsid w:val="584F0574"/>
    <w:rsid w:val="5852070B"/>
    <w:rsid w:val="58B80F69"/>
    <w:rsid w:val="591D48FD"/>
    <w:rsid w:val="59735B81"/>
    <w:rsid w:val="5986297F"/>
    <w:rsid w:val="59905508"/>
    <w:rsid w:val="59AE5695"/>
    <w:rsid w:val="5A0B5E16"/>
    <w:rsid w:val="5A6A3B3C"/>
    <w:rsid w:val="5A920076"/>
    <w:rsid w:val="5A987CFA"/>
    <w:rsid w:val="5B552FBC"/>
    <w:rsid w:val="5B863CAA"/>
    <w:rsid w:val="5B8D7E52"/>
    <w:rsid w:val="5B982C84"/>
    <w:rsid w:val="5BA110F4"/>
    <w:rsid w:val="5BE40BD7"/>
    <w:rsid w:val="5BE72371"/>
    <w:rsid w:val="5C10495C"/>
    <w:rsid w:val="5C2062B6"/>
    <w:rsid w:val="5C5C1543"/>
    <w:rsid w:val="5C840DDB"/>
    <w:rsid w:val="5CB66BBB"/>
    <w:rsid w:val="5CB722AA"/>
    <w:rsid w:val="5CBD16EA"/>
    <w:rsid w:val="5D203217"/>
    <w:rsid w:val="5D3E6B12"/>
    <w:rsid w:val="5D8957BA"/>
    <w:rsid w:val="5D8A38BA"/>
    <w:rsid w:val="5D8F4713"/>
    <w:rsid w:val="5DB80DF9"/>
    <w:rsid w:val="5DC31BF3"/>
    <w:rsid w:val="5DCC0F68"/>
    <w:rsid w:val="5DE52998"/>
    <w:rsid w:val="5E3B71C4"/>
    <w:rsid w:val="5E3B7C85"/>
    <w:rsid w:val="5E6B6B25"/>
    <w:rsid w:val="5EC51F04"/>
    <w:rsid w:val="5F043CD0"/>
    <w:rsid w:val="5F7E449C"/>
    <w:rsid w:val="5FAD7C6F"/>
    <w:rsid w:val="5FB33757"/>
    <w:rsid w:val="5FF611CB"/>
    <w:rsid w:val="601B521E"/>
    <w:rsid w:val="608A1D7B"/>
    <w:rsid w:val="60AD263B"/>
    <w:rsid w:val="60BE4E2A"/>
    <w:rsid w:val="60DD0E1E"/>
    <w:rsid w:val="60DE6CE0"/>
    <w:rsid w:val="60F92A78"/>
    <w:rsid w:val="61276A52"/>
    <w:rsid w:val="61343FF5"/>
    <w:rsid w:val="61505A53"/>
    <w:rsid w:val="61836963"/>
    <w:rsid w:val="61F321F5"/>
    <w:rsid w:val="62074763"/>
    <w:rsid w:val="62524536"/>
    <w:rsid w:val="626C2899"/>
    <w:rsid w:val="62764546"/>
    <w:rsid w:val="627B72B6"/>
    <w:rsid w:val="629F6725"/>
    <w:rsid w:val="62A00660"/>
    <w:rsid w:val="62AA5A7B"/>
    <w:rsid w:val="62BF7245"/>
    <w:rsid w:val="62ED13FE"/>
    <w:rsid w:val="62FF768A"/>
    <w:rsid w:val="631324DB"/>
    <w:rsid w:val="63154B74"/>
    <w:rsid w:val="633E2EF6"/>
    <w:rsid w:val="63552501"/>
    <w:rsid w:val="636B1180"/>
    <w:rsid w:val="63BA049A"/>
    <w:rsid w:val="63CD4B0C"/>
    <w:rsid w:val="63FD6911"/>
    <w:rsid w:val="64000506"/>
    <w:rsid w:val="64101774"/>
    <w:rsid w:val="643D5178"/>
    <w:rsid w:val="648577AA"/>
    <w:rsid w:val="64917EC2"/>
    <w:rsid w:val="64EE10B1"/>
    <w:rsid w:val="650810E7"/>
    <w:rsid w:val="653D1756"/>
    <w:rsid w:val="654F31AD"/>
    <w:rsid w:val="65935145"/>
    <w:rsid w:val="65E82FA1"/>
    <w:rsid w:val="661242F7"/>
    <w:rsid w:val="66137F41"/>
    <w:rsid w:val="665668EA"/>
    <w:rsid w:val="66643126"/>
    <w:rsid w:val="66833E92"/>
    <w:rsid w:val="66D212C5"/>
    <w:rsid w:val="66FD66BF"/>
    <w:rsid w:val="67240C23"/>
    <w:rsid w:val="67754171"/>
    <w:rsid w:val="67C727ED"/>
    <w:rsid w:val="68087D35"/>
    <w:rsid w:val="68166CFD"/>
    <w:rsid w:val="681E72C1"/>
    <w:rsid w:val="68313917"/>
    <w:rsid w:val="688A223F"/>
    <w:rsid w:val="68D21B73"/>
    <w:rsid w:val="68EA0E1C"/>
    <w:rsid w:val="69336B54"/>
    <w:rsid w:val="693F2CD9"/>
    <w:rsid w:val="69507531"/>
    <w:rsid w:val="69F824F1"/>
    <w:rsid w:val="6A2B0EED"/>
    <w:rsid w:val="6A561D2C"/>
    <w:rsid w:val="6A771BDE"/>
    <w:rsid w:val="6A80623B"/>
    <w:rsid w:val="6AD94D26"/>
    <w:rsid w:val="6ADB5432"/>
    <w:rsid w:val="6AEB6DEF"/>
    <w:rsid w:val="6AF25428"/>
    <w:rsid w:val="6B074D6A"/>
    <w:rsid w:val="6B0E6F16"/>
    <w:rsid w:val="6B523F0F"/>
    <w:rsid w:val="6B610FA2"/>
    <w:rsid w:val="6BC8654E"/>
    <w:rsid w:val="6C14761B"/>
    <w:rsid w:val="6C30440B"/>
    <w:rsid w:val="6C32321B"/>
    <w:rsid w:val="6C443CD2"/>
    <w:rsid w:val="6C5A5FC9"/>
    <w:rsid w:val="6C8A1906"/>
    <w:rsid w:val="6D6600E9"/>
    <w:rsid w:val="6E2927F3"/>
    <w:rsid w:val="6E375327"/>
    <w:rsid w:val="6F1639A7"/>
    <w:rsid w:val="6F173940"/>
    <w:rsid w:val="6F620FC3"/>
    <w:rsid w:val="6F7E0C4F"/>
    <w:rsid w:val="6F7E367B"/>
    <w:rsid w:val="6FAF0090"/>
    <w:rsid w:val="6FC51577"/>
    <w:rsid w:val="702922EF"/>
    <w:rsid w:val="70905A53"/>
    <w:rsid w:val="709665A4"/>
    <w:rsid w:val="70C46869"/>
    <w:rsid w:val="70EB1ED4"/>
    <w:rsid w:val="71864CD0"/>
    <w:rsid w:val="71B81E99"/>
    <w:rsid w:val="722A1572"/>
    <w:rsid w:val="726E239B"/>
    <w:rsid w:val="72873141"/>
    <w:rsid w:val="72C473E7"/>
    <w:rsid w:val="73061303"/>
    <w:rsid w:val="73521F74"/>
    <w:rsid w:val="73A55CE7"/>
    <w:rsid w:val="73CD15E7"/>
    <w:rsid w:val="73FD3FBA"/>
    <w:rsid w:val="741B49A4"/>
    <w:rsid w:val="74243BBA"/>
    <w:rsid w:val="74436249"/>
    <w:rsid w:val="747A74AE"/>
    <w:rsid w:val="747D1D32"/>
    <w:rsid w:val="74824DE9"/>
    <w:rsid w:val="753B4372"/>
    <w:rsid w:val="753C72E9"/>
    <w:rsid w:val="7560113C"/>
    <w:rsid w:val="75F43B29"/>
    <w:rsid w:val="763808D2"/>
    <w:rsid w:val="766353BD"/>
    <w:rsid w:val="76881317"/>
    <w:rsid w:val="76EB6B01"/>
    <w:rsid w:val="779D29D1"/>
    <w:rsid w:val="779E0ACE"/>
    <w:rsid w:val="77A52507"/>
    <w:rsid w:val="77EC38F7"/>
    <w:rsid w:val="78012592"/>
    <w:rsid w:val="78460916"/>
    <w:rsid w:val="785C10FA"/>
    <w:rsid w:val="78716A06"/>
    <w:rsid w:val="788A2FFA"/>
    <w:rsid w:val="78A806D6"/>
    <w:rsid w:val="78B173C8"/>
    <w:rsid w:val="794322FF"/>
    <w:rsid w:val="7985411B"/>
    <w:rsid w:val="799B363B"/>
    <w:rsid w:val="79BE40EB"/>
    <w:rsid w:val="79D4756E"/>
    <w:rsid w:val="79DD39DA"/>
    <w:rsid w:val="79EA5504"/>
    <w:rsid w:val="7A09363C"/>
    <w:rsid w:val="7A0B5166"/>
    <w:rsid w:val="7A17403C"/>
    <w:rsid w:val="7A2573B3"/>
    <w:rsid w:val="7A315B46"/>
    <w:rsid w:val="7A95772E"/>
    <w:rsid w:val="7ABF6A8E"/>
    <w:rsid w:val="7AC0609F"/>
    <w:rsid w:val="7ACF1153"/>
    <w:rsid w:val="7AD578D2"/>
    <w:rsid w:val="7B15497F"/>
    <w:rsid w:val="7B274348"/>
    <w:rsid w:val="7B575531"/>
    <w:rsid w:val="7B812F83"/>
    <w:rsid w:val="7B9263E3"/>
    <w:rsid w:val="7BD93EB2"/>
    <w:rsid w:val="7C090F7C"/>
    <w:rsid w:val="7C0F39F4"/>
    <w:rsid w:val="7C6E29BA"/>
    <w:rsid w:val="7C737734"/>
    <w:rsid w:val="7CCA15CE"/>
    <w:rsid w:val="7CE40A04"/>
    <w:rsid w:val="7CEE3805"/>
    <w:rsid w:val="7D5C4999"/>
    <w:rsid w:val="7E6977B5"/>
    <w:rsid w:val="7E93687D"/>
    <w:rsid w:val="7EDA46A2"/>
    <w:rsid w:val="7F4F68E5"/>
    <w:rsid w:val="7F681CD9"/>
    <w:rsid w:val="7F6F14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character" w:styleId="8">
    <w:name w:val="Emphasis"/>
    <w:basedOn w:val="7"/>
    <w:qFormat/>
    <w:uiPriority w:val="0"/>
    <w:rPr>
      <w:i/>
    </w:rPr>
  </w:style>
  <w:style w:type="character" w:styleId="9">
    <w:name w:val="Hyperlink"/>
    <w:basedOn w:val="7"/>
    <w:uiPriority w:val="0"/>
    <w:rPr>
      <w:color w:val="0000FF"/>
      <w:u w:val="single"/>
    </w:rPr>
  </w:style>
  <w:style w:type="paragraph" w:customStyle="1" w:styleId="10">
    <w:name w:val="标题黑体四号"/>
    <w:basedOn w:val="1"/>
    <w:qFormat/>
    <w:uiPriority w:val="0"/>
    <w:pPr>
      <w:spacing w:line="360" w:lineRule="auto"/>
    </w:pPr>
    <w:rPr>
      <w:rFonts w:hint="eastAsia" w:ascii="宋体" w:hAnsi="宋体" w:eastAsia="宋体" w:cs="宋体"/>
      <w:b/>
      <w:sz w:val="24"/>
    </w:rPr>
  </w:style>
  <w:style w:type="paragraph" w:customStyle="1" w:styleId="11">
    <w:name w:val="正文宋体小四"/>
    <w:basedOn w:val="1"/>
    <w:qFormat/>
    <w:uiPriority w:val="0"/>
    <w:pPr>
      <w:spacing w:line="360" w:lineRule="auto"/>
      <w:ind w:firstLine="643" w:firstLineChars="200"/>
    </w:pPr>
    <w:rPr>
      <w:rFonts w:hint="eastAsia" w:ascii="宋体" w:hAnsi="宋体" w:eastAsia="宋体" w:cs="宋体"/>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5</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2025-11-26T08:42:00Z</dcterms:created>
  <dc:creator>gejj</dc:creator>
  <cp:lastModifiedBy>汤姆</cp:lastModifiedBy>
  <dcterms:modified xsi:type="dcterms:W3CDTF">2026-08-14T05:39:18Z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E182B5DF051E4A2EBFF94D59A2E1FB5A_12</vt:lpwstr>
  </property>
  <property fmtid="{D5CDD505-2E9C-101B-9397-08002B2CF9AE}" pid="4" name="KSOTemplateDocerSaveRecord">
    <vt:lpwstr>eyJoZGlkIjoiNDYxNGM0OGJlNTUxMzk0OTc0Y2VmNTUxNmE1NWIwMGYiLCJ1c2VySWQiOiIxNjkxMzU0MTc2In0=</vt:lpwstr>
  </property>
</Properties>
</file>