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spacing w:lineRule="auto" w:line="288" w:before="480" w:after="480"/>
        <w:ind w:left="0" w:hanging="0"/>
        <w:rPr/>
      </w:pPr>
      <w:r>
        <w:rPr/>
        <w:t>文莱与新加坡融合教育及特殊儿童康复支持体系比较研究</w:t>
      </w:r>
      <w:r>
        <w:rPr/>
        <w:br/>
        <w:t>A Comparative Analysis of Inclusive</w:t>
        <w:noBreakHyphen/>
        <w:t>Education and Rehabilitation Support Systems for Children with Special Needs between Brunei Darussalam and Singapore</w:t>
      </w:r>
    </w:p>
    <w:p>
      <w:pPr>
        <w:pStyle w:val="Normal"/>
        <w:rPr/>
      </w:pPr>
      <w:r>
        <w:rPr>
          <w:b/>
          <w:bCs/>
        </w:rPr>
        <w:t>关键词</w:t>
      </w:r>
      <w:r>
        <w:rPr/>
        <w:t>：融合教育；特殊需要儿童；康复服务；转衔；家庭支持；文莱；新加坡</w:t>
      </w:r>
    </w:p>
    <w:p>
      <w:pPr>
        <w:pStyle w:val="2"/>
        <w:rPr/>
      </w:pPr>
      <w:r>
        <w:rPr/>
        <w:t>摘要</w:t>
      </w:r>
    </w:p>
    <w:p>
      <w:pPr>
        <w:pStyle w:val="Normal"/>
        <w:rPr/>
      </w:pPr>
      <w:r>
        <w:rPr/>
        <w:t>融合教育的质量取决于政策制度、筛查</w:t>
        <w:noBreakHyphen/>
        <w:t>评估</w:t>
        <w:noBreakHyphen/>
        <w:t>干预</w:t>
        <w:noBreakHyphen/>
        <w:t>转衔完整链条，同时需要配套社区资源、家庭赋能、医疗保障、就业过渡与辅助技术体系（</w:t>
      </w:r>
      <w:r>
        <w:rPr/>
        <w:t>WHO,2022</w:t>
      </w:r>
      <w:r>
        <w:rPr/>
        <w:t>）。文莱与新加坡同属东南亚高收入国家，但国家治理模式、社会文化、行政架构差异显著：文莱以</w:t>
      </w:r>
      <w:r>
        <w:rPr>
          <w:b/>
          <w:bCs/>
        </w:rPr>
        <w:t>Melayu</w:t>
        <w:noBreakHyphen/>
        <w:t>Islam</w:t>
        <w:noBreakHyphen/>
        <w:t>Beraja</w:t>
      </w:r>
      <w:r>
        <w:rPr>
          <w:b/>
          <w:bCs/>
        </w:rPr>
        <w:t>（</w:t>
      </w:r>
      <w:r>
        <w:rPr>
          <w:b/>
          <w:bCs/>
        </w:rPr>
        <w:t>MIB</w:t>
      </w:r>
      <w:r>
        <w:rPr>
          <w:b/>
          <w:bCs/>
        </w:rPr>
        <w:t>）马来</w:t>
        <w:noBreakHyphen/>
        <w:t>伊斯兰君主制</w:t>
      </w:r>
      <w:r>
        <w:rPr/>
        <w:t>为国家哲学，并行教育部普通学校与宗教部</w:t>
      </w:r>
      <w:r>
        <w:rPr/>
        <w:t>Ugama</w:t>
      </w:r>
      <w:r>
        <w:rPr/>
        <w:t>宗教学校两套教育系统；新加坡为城市国家，行政集中，多部门协同的特殊需要支持体系高度制度化（</w:t>
      </w:r>
      <w:r>
        <w:rPr/>
        <w:t>Harun et al., 2023</w:t>
      </w:r>
      <w:r>
        <w:rPr/>
        <w:t>；</w:t>
      </w:r>
      <w:r>
        <w:rPr/>
        <w:t>Ng &amp; Tan, 2025</w:t>
      </w:r>
      <w:r>
        <w:rPr/>
        <w:t>）。本文采用文献比较法，基于两国官方文件、本土实证研究、</w:t>
      </w:r>
      <w:r>
        <w:rPr/>
        <w:t>NGO</w:t>
      </w:r>
      <w:r>
        <w:rPr/>
        <w:t>报告，从政策、早期筛查、评估、干预流程、转衔、社区服务、家庭支持、医疗保障、教育手段、就业支持、技术投入</w:t>
      </w:r>
      <w:r>
        <w:rPr/>
        <w:t>11</w:t>
      </w:r>
      <w:r>
        <w:rPr/>
        <w:t>个维度开展系统对比。研究发现：新加坡建立了中心化、多部门打通的闭环式服务链条；文莱拥有福利基础与融合教育政策框架，但政策落地、跨部门协作、标准化转衔流程、社区康复体系存在明显缺口，两套并行教育系统进一步放大服务割裂。两国共同挑战包含教师能力建设、辅助技术普及、青年残障群体就业壁垒。本研究可为东盟穆斯林文化背景国家完善融合康复体系提供参考。</w:t>
      </w:r>
    </w:p>
    <w:p>
      <w:pPr>
        <w:pStyle w:val="Normal"/>
        <w:rPr/>
      </w:pPr>
      <w:r>
        <w:rPr>
          <w:b/>
          <w:bCs/>
        </w:rPr>
        <w:t>关键词</w:t>
      </w:r>
      <w:r>
        <w:rPr/>
        <w:t>：融合教育；特殊需要儿童；康复</w:t>
        <w:noBreakHyphen/>
        <w:t>教育链条；转衔服务；文莱；新加坡</w:t>
      </w:r>
    </w:p>
    <w:p>
      <w:pPr>
        <w:pStyle w:val="2"/>
        <w:rPr/>
      </w:pPr>
      <w:r>
        <w:rPr/>
        <w:t xml:space="preserve">1 </w:t>
      </w:r>
      <w:r>
        <w:rPr/>
        <w:t>引言</w:t>
      </w:r>
    </w:p>
    <w:p>
      <w:pPr>
        <w:pStyle w:val="Normal"/>
        <w:rPr/>
      </w:pPr>
      <w:r>
        <w:rPr/>
        <w:t>联合国《残疾人权利公约》</w:t>
      </w:r>
      <w:r>
        <w:rPr/>
        <w:t>CRPD</w:t>
      </w:r>
      <w:r>
        <w:rPr/>
        <w:t>提出残障儿童有权获得融合环境下连续、无缝的教育、康复与社会支持服务（</w:t>
      </w:r>
      <w:r>
        <w:rPr/>
        <w:t>United Nations, 2006</w:t>
      </w:r>
      <w:r>
        <w:rPr/>
        <w:t>）。东南亚高收入国家之间的比较研究，有助于识别政策文本与基层实践之间的落差，避免直接照搬西方模式（</w:t>
      </w:r>
      <w:r>
        <w:rPr/>
        <w:t>ASEAN Secretariat, 2023</w:t>
      </w:r>
      <w:r>
        <w:rPr/>
        <w:t>）。</w:t>
      </w:r>
    </w:p>
    <w:p>
      <w:pPr>
        <w:pStyle w:val="Normal"/>
        <w:rPr/>
      </w:pPr>
      <w:r>
        <w:rPr/>
        <w:t>文莱</w:t>
      </w:r>
      <w:r>
        <w:rPr/>
        <w:t>2016</w:t>
      </w:r>
      <w:r>
        <w:rPr/>
        <w:t>年批准</w:t>
      </w:r>
      <w:r>
        <w:rPr/>
        <w:t>CRPD</w:t>
      </w:r>
      <w:r>
        <w:rPr/>
        <w:t>，依托</w:t>
      </w:r>
      <w:r>
        <w:rPr/>
        <w:t>SPN21</w:t>
      </w:r>
      <w:r>
        <w:rPr/>
        <w:t>二十一世纪国家教育改革推行融合教育；</w:t>
      </w:r>
      <w:r>
        <w:rPr/>
        <w:t>RIPAS</w:t>
      </w:r>
      <w:r>
        <w:rPr/>
        <w:t>医院、</w:t>
      </w:r>
      <w:r>
        <w:rPr/>
        <w:t>CDC</w:t>
      </w:r>
      <w:r>
        <w:rPr/>
        <w:t>儿童发展中心承担医学康复；但本土实证研究指出，大量服务高度集中首都斯里巴加湾，郊区、乡村服务供给不足，普通学校与</w:t>
      </w:r>
      <w:r>
        <w:rPr/>
        <w:t>Ugama</w:t>
      </w:r>
      <w:r>
        <w:rPr/>
        <w:t>宗教学校缺少特殊需要协同机制（</w:t>
      </w:r>
      <w:r>
        <w:rPr/>
        <w:t>Koay &amp; Lim, 2025</w:t>
      </w:r>
      <w:r>
        <w:rPr/>
        <w:t>；</w:t>
      </w:r>
      <w:r>
        <w:rPr/>
        <w:t>Othman, 2023</w:t>
      </w:r>
      <w:r>
        <w:rPr/>
        <w:t>）。</w:t>
      </w:r>
    </w:p>
    <w:p>
      <w:pPr>
        <w:pStyle w:val="Normal"/>
        <w:rPr/>
      </w:pPr>
      <w:r>
        <w:rPr/>
        <w:t>新加坡以《</w:t>
      </w:r>
      <w:r>
        <w:rPr/>
        <w:t>Enable Masterplan</w:t>
      </w:r>
      <w:r>
        <w:rPr/>
        <w:t>》（赋能总体规划）作为残障领域顶层政策；教育部</w:t>
      </w:r>
      <w:r>
        <w:rPr/>
        <w:t>MOE</w:t>
      </w:r>
      <w:r>
        <w:rPr/>
        <w:t>、社会家庭发展部</w:t>
      </w:r>
      <w:r>
        <w:rPr/>
        <w:t>MSF</w:t>
      </w:r>
      <w:r>
        <w:rPr/>
        <w:t>、</w:t>
      </w:r>
      <w:r>
        <w:rPr/>
        <w:t>SG</w:t>
        <w:noBreakHyphen/>
        <w:t>Enable</w:t>
      </w:r>
      <w:r>
        <w:rPr/>
        <w:t>分工协作，构建从新生儿筛查、</w:t>
      </w:r>
      <w:r>
        <w:rPr/>
        <w:t>EIPIC</w:t>
      </w:r>
      <w:r>
        <w:rPr/>
        <w:t>早期干预、主流</w:t>
      </w:r>
      <w:r>
        <w:rPr/>
        <w:t>/SPED</w:t>
      </w:r>
      <w:r>
        <w:rPr/>
        <w:t>特殊教育学校，再到学校</w:t>
        <w:noBreakHyphen/>
        <w:t>职场转衔的完整服务链路（</w:t>
      </w:r>
      <w:r>
        <w:rPr/>
        <w:t>MOE Singapore, 2026</w:t>
      </w:r>
      <w:r>
        <w:rPr/>
        <w:t>；</w:t>
      </w:r>
      <w:r>
        <w:rPr/>
        <w:t>Ng &amp; Tan, 2025</w:t>
      </w:r>
      <w:r>
        <w:rPr/>
        <w:t>）。</w:t>
      </w:r>
    </w:p>
    <w:p>
      <w:pPr>
        <w:pStyle w:val="Normal"/>
        <w:rPr/>
      </w:pPr>
      <w:r>
        <w:rPr/>
        <w:t>现有东盟文献多单独介绍某一国政策，较少把文莱、新加坡做全链条多维度系统对比。本研究依据公开政策、</w:t>
      </w:r>
      <w:r>
        <w:rPr/>
        <w:t>UBD</w:t>
      </w:r>
      <w:r>
        <w:rPr/>
        <w:t>文莱大学实证研究、新加坡教育部议会答复、</w:t>
      </w:r>
      <w:r>
        <w:rPr/>
        <w:t>PMC</w:t>
      </w:r>
      <w:r>
        <w:rPr/>
        <w:t>期刊、</w:t>
      </w:r>
      <w:r>
        <w:rPr/>
        <w:t>SEAMEO</w:t>
      </w:r>
      <w:r>
        <w:rPr/>
        <w:t>东南亚教育组织报告、</w:t>
      </w:r>
      <w:r>
        <w:rPr/>
        <w:t>NGO</w:t>
      </w:r>
      <w:r>
        <w:rPr/>
        <w:t>调研报告，对两国融合</w:t>
        <w:noBreakHyphen/>
        <w:t>康复全流程进行梳理与批判性思考。</w:t>
      </w:r>
    </w:p>
    <w:p>
      <w:pPr>
        <w:pStyle w:val="2"/>
        <w:rPr/>
      </w:pPr>
      <w:r>
        <w:rPr/>
        <w:t xml:space="preserve">2 </w:t>
      </w:r>
      <w:r>
        <w:rPr/>
        <w:t>多维度系统对比</w:t>
      </w:r>
    </w:p>
    <w:p>
      <w:pPr>
        <w:pStyle w:val="3"/>
        <w:rPr/>
      </w:pPr>
      <w:r>
        <w:rPr/>
        <w:t xml:space="preserve">2.1 </w:t>
      </w:r>
      <w:r>
        <w:rPr/>
        <w:t>政策顶层设计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顶层框架：</w:t>
      </w:r>
      <w:r>
        <w:rPr/>
        <w:t>SPN21</w:t>
      </w:r>
      <w:r>
        <w:rPr/>
        <w:t>国家教育改革确立融合教育方向；</w:t>
      </w:r>
      <w:r>
        <w:rPr/>
        <w:t>2016</w:t>
      </w:r>
      <w:r>
        <w:rPr/>
        <w:t>批准联合国残疾人权利公约</w:t>
      </w:r>
      <w:r>
        <w:rPr/>
        <w:t>CRPD</w:t>
      </w:r>
      <w:r>
        <w:rPr/>
        <w:t>；</w:t>
      </w:r>
      <w:r>
        <w:rPr/>
        <w:t>MIB</w:t>
      </w:r>
      <w:r>
        <w:rPr/>
        <w:t>国家哲学倡导帮扶弱势群体（</w:t>
      </w:r>
      <w:r>
        <w:rPr/>
        <w:t>Ministry of Education Brunei, 2009</w:t>
      </w:r>
      <w:r>
        <w:rPr/>
        <w:t>；</w:t>
      </w:r>
      <w:r>
        <w:rPr/>
        <w:t>Harun et al., 2023</w:t>
      </w:r>
      <w:r>
        <w:rPr/>
        <w:t>）。</w:t>
      </w:r>
    </w:p>
    <w:p>
      <w:pPr>
        <w:pStyle w:val="Normal"/>
        <w:rPr/>
      </w:pPr>
      <w:r>
        <w:rPr/>
        <w:t>教育层面：教育部推广</w:t>
      </w:r>
      <w:r>
        <w:rPr>
          <w:b/>
          <w:bCs/>
        </w:rPr>
        <w:t>Priority Levels</w:t>
      </w:r>
      <w:r>
        <w:rPr>
          <w:b/>
          <w:bCs/>
        </w:rPr>
        <w:t>优先级评估工具</w:t>
      </w:r>
      <w:r>
        <w:rPr/>
        <w:t>用于普通学校识别特殊需要学生；</w:t>
      </w:r>
      <w:r>
        <w:rPr/>
        <w:t>BDTA</w:t>
      </w:r>
      <w:r>
        <w:rPr/>
        <w:t>文莱教师学院开设大量全纳教育培训课程；</w:t>
      </w:r>
      <w:r>
        <w:rPr>
          <w:b/>
          <w:bCs/>
        </w:rPr>
        <w:t>IEP</w:t>
      </w:r>
      <w:r>
        <w:rPr>
          <w:b/>
          <w:bCs/>
        </w:rPr>
        <w:t>个别化教育计划属于推荐使用，但并非法律强制要求</w:t>
      </w:r>
      <w:r>
        <w:rPr/>
        <w:t>（</w:t>
      </w:r>
      <w:r>
        <w:rPr/>
        <w:t>Hjh Noraini, 2024</w:t>
      </w:r>
      <w:r>
        <w:rPr/>
        <w:t>；</w:t>
      </w:r>
      <w:r>
        <w:rPr/>
        <w:t>Harun et al., 2025</w:t>
      </w:r>
      <w:r>
        <w:rPr/>
        <w:t>）。</w:t>
      </w:r>
    </w:p>
    <w:p>
      <w:pPr>
        <w:pStyle w:val="Normal"/>
        <w:rPr/>
      </w:pPr>
      <w:r>
        <w:rPr/>
        <w:t>制度短板：</w:t>
      </w:r>
      <w:r>
        <w:rPr>
          <w:b/>
          <w:bCs/>
        </w:rPr>
        <w:t>无全国标准化社区康复</w:t>
      </w:r>
      <w:r>
        <w:rPr>
          <w:b/>
          <w:bCs/>
        </w:rPr>
        <w:t>CBR</w:t>
      </w:r>
      <w:r>
        <w:rPr>
          <w:b/>
          <w:bCs/>
        </w:rPr>
        <w:t>官方政策文件</w:t>
      </w:r>
      <w:r>
        <w:rPr/>
        <w:t>；普通学校（教育部）、</w:t>
      </w:r>
      <w:r>
        <w:rPr/>
        <w:t>Ugama</w:t>
      </w:r>
      <w:r>
        <w:rPr/>
        <w:t>宗教学校（宗教部</w:t>
      </w:r>
      <w:r>
        <w:rPr/>
        <w:t>MoRA</w:t>
      </w:r>
      <w:r>
        <w:rPr/>
        <w:t>）分属两套行政体系，没有统一特殊教育政策框架（</w:t>
      </w:r>
      <w:r>
        <w:rPr/>
        <w:t>Othman, 2023</w:t>
      </w:r>
      <w:r>
        <w:rPr/>
        <w:t>）；缺少残障反歧视专门立法（</w:t>
      </w:r>
      <w:r>
        <w:rPr/>
        <w:t>Expat</w:t>
        <w:noBreakHyphen/>
        <w:t>Focus, 2026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顶层框架：五年一版《</w:t>
      </w:r>
      <w:r>
        <w:rPr/>
        <w:t>Enable Masterplan</w:t>
      </w:r>
      <w:r>
        <w:rPr/>
        <w:t>》赋能总体规划，统筹残障全生命周期服务；</w:t>
      </w:r>
      <w:r>
        <w:rPr/>
        <w:t>2019</w:t>
      </w:r>
      <w:r>
        <w:rPr/>
        <w:t>年将特殊需要儿童纳入义务教育法案（</w:t>
      </w:r>
      <w:r>
        <w:rPr/>
        <w:t>ASEAN Secretariat, 2023</w:t>
      </w:r>
      <w:r>
        <w:rPr/>
        <w:t>）。</w:t>
      </w:r>
    </w:p>
    <w:p>
      <w:pPr>
        <w:pStyle w:val="Normal"/>
        <w:rPr/>
      </w:pPr>
      <w:r>
        <w:rPr/>
        <w:t>部门分工：</w:t>
      </w:r>
      <w:r>
        <w:rPr/>
        <w:t>MOE</w:t>
      </w:r>
      <w:r>
        <w:rPr/>
        <w:t>教育部主管学校教育；</w:t>
      </w:r>
      <w:r>
        <w:rPr/>
        <w:t>MSF</w:t>
      </w:r>
      <w:r>
        <w:rPr/>
        <w:t>社会家庭发展部主管</w:t>
      </w:r>
      <w:r>
        <w:rPr/>
        <w:t>EIPIC</w:t>
      </w:r>
      <w:r>
        <w:rPr/>
        <w:t>早期干预；</w:t>
      </w:r>
      <w:r>
        <w:rPr/>
        <w:t>SG</w:t>
        <w:noBreakHyphen/>
        <w:t>Enable</w:t>
      </w:r>
      <w:r>
        <w:rPr/>
        <w:t>统筹就业、社区、成人残障服务；多部门之间建立常态化协作机制（</w:t>
      </w:r>
      <w:r>
        <w:rPr/>
        <w:t>MOE Singapore, 2024</w:t>
      </w:r>
      <w:r>
        <w:rPr/>
        <w:t>）。</w:t>
      </w:r>
    </w:p>
    <w:p>
      <w:pPr>
        <w:pStyle w:val="Normal"/>
        <w:rPr/>
      </w:pPr>
      <w:r>
        <w:rPr/>
        <w:t>安置双路径：轻度特殊需要学生进入主流普通学校，由</w:t>
      </w:r>
      <w:r>
        <w:rPr/>
        <w:t>SEN</w:t>
        <w:noBreakHyphen/>
        <w:t>Officer</w:t>
      </w:r>
      <w:r>
        <w:rPr/>
        <w:t>、</w:t>
      </w:r>
      <w:r>
        <w:rPr/>
        <w:t>Allied</w:t>
        <w:noBreakHyphen/>
        <w:t>Educator</w:t>
      </w:r>
      <w:r>
        <w:rPr/>
        <w:t>提供校内支持；中重度安置</w:t>
      </w:r>
      <w:r>
        <w:rPr/>
        <w:t>SPED</w:t>
      </w:r>
      <w:r>
        <w:rPr/>
        <w:t>特殊教育学校；</w:t>
      </w:r>
      <w:r>
        <w:rPr/>
        <w:t>IEP</w:t>
      </w:r>
      <w:r>
        <w:rPr/>
        <w:t>个别化计划在主流与</w:t>
      </w:r>
      <w:r>
        <w:rPr/>
        <w:t>SPED</w:t>
      </w:r>
      <w:r>
        <w:rPr/>
        <w:t>学校制度化实施（</w:t>
      </w:r>
      <w:r>
        <w:rPr/>
        <w:t>Ng &amp; Tan, 2025</w:t>
      </w:r>
      <w:r>
        <w:rPr/>
        <w:t>）。</w:t>
      </w:r>
    </w:p>
    <w:p>
      <w:pPr>
        <w:pStyle w:val="3"/>
        <w:rPr/>
      </w:pPr>
      <w:r>
        <w:rPr/>
        <w:t xml:space="preserve">2.2 </w:t>
      </w:r>
      <w:r>
        <w:rPr/>
        <w:t>早期筛查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新生儿听力筛查在</w:t>
      </w:r>
      <w:r>
        <w:rPr/>
        <w:t>RIPAS</w:t>
      </w:r>
      <w:r>
        <w:rPr/>
        <w:t>公立医院开展；</w:t>
      </w:r>
      <w:r>
        <w:rPr/>
        <w:t>0</w:t>
        <w:noBreakHyphen/>
        <w:t>6</w:t>
      </w:r>
      <w:r>
        <w:rPr/>
        <w:t>岁发育筛查主要依托公立医院</w:t>
      </w:r>
      <w:r>
        <w:rPr/>
        <w:t>CDC</w:t>
      </w:r>
      <w:r>
        <w:rPr/>
        <w:t>儿童发展中心；社区基层卫生站点缺少标准化常态化发育筛查工具（</w:t>
      </w:r>
      <w:r>
        <w:rPr/>
        <w:t>Koay &amp; Lim, 2025</w:t>
      </w:r>
      <w:r>
        <w:rPr/>
        <w:t>）。</w:t>
      </w:r>
    </w:p>
    <w:p>
      <w:pPr>
        <w:pStyle w:val="Normal"/>
        <w:rPr/>
      </w:pPr>
      <w:r>
        <w:rPr/>
        <w:t>识别触发：主要依靠家长觉察、医院儿科；普通幼儿园缺少统一系统发育筛查流程；郊区家庭需要长途前往首都完成评估，排队周期较长，等待期间缺少过渡支持（</w:t>
      </w:r>
      <w:r>
        <w:rPr/>
        <w:t>E</w:t>
        <w:noBreakHyphen/>
        <w:t>RIC Brunei, 2022</w:t>
      </w:r>
      <w:r>
        <w:rPr/>
        <w:t>）。</w:t>
      </w:r>
    </w:p>
    <w:p>
      <w:pPr>
        <w:pStyle w:val="Normal"/>
        <w:rPr/>
      </w:pPr>
      <w:r>
        <w:rPr/>
        <w:t>局限：没有全国统一儿童健康手册配套标准化发育筛查清单；筛查下沉社区不足。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新生儿听力普遍筛查；全国统一</w:t>
      </w:r>
      <w:r>
        <w:rPr>
          <w:b/>
          <w:bCs/>
        </w:rPr>
        <w:t>儿童健康手册</w:t>
      </w:r>
      <w:r>
        <w:rPr/>
        <w:t xml:space="preserve">内置分年龄发育筛查量表，包含自闭症早期筛查条目；社区全科诊所、幼儿园、 </w:t>
      </w:r>
      <w:r>
        <w:rPr/>
        <w:t>childcare</w:t>
      </w:r>
      <w:r>
        <w:rPr/>
        <w:t>都作为筛查触点（</w:t>
      </w:r>
      <w:r>
        <w:rPr/>
        <w:t>PMC, 2022</w:t>
      </w:r>
      <w:r>
        <w:rPr/>
        <w:t>）。</w:t>
      </w:r>
    </w:p>
    <w:p>
      <w:pPr>
        <w:pStyle w:val="Normal"/>
        <w:rPr/>
      </w:pPr>
      <w:r>
        <w:rPr/>
        <w:t>学前</w:t>
      </w:r>
      <w:r>
        <w:rPr/>
        <w:t>ECDA</w:t>
      </w:r>
      <w:r>
        <w:rPr/>
        <w:t>机构推行</w:t>
      </w:r>
      <w:r>
        <w:rPr/>
        <w:t>InSP</w:t>
      </w:r>
      <w:r>
        <w:rPr/>
        <w:t>融合学前项目，在幼儿园内完成筛查识别，直接衔接园内干预，减少儿童往返机构（</w:t>
      </w:r>
      <w:r>
        <w:rPr/>
        <w:t>ECDA,2025</w:t>
      </w:r>
      <w:r>
        <w:rPr/>
        <w:t>）。</w:t>
      </w:r>
    </w:p>
    <w:p>
      <w:pPr>
        <w:pStyle w:val="Normal"/>
        <w:rPr/>
      </w:pPr>
      <w:r>
        <w:rPr/>
        <w:t>小学一年级</w:t>
      </w:r>
      <w:r>
        <w:rPr/>
        <w:t>P1</w:t>
      </w:r>
      <w:r>
        <w:rPr/>
        <w:t>入学统一读写语言筛查，搭配</w:t>
      </w:r>
      <w:r>
        <w:rPr/>
        <w:t>SEN</w:t>
      </w:r>
      <w:r>
        <w:rPr/>
        <w:t>官员行为观察，实现入学阶段二次识别（</w:t>
      </w:r>
      <w:r>
        <w:rPr/>
        <w:t>MOE Singapore,2026</w:t>
        <w:noBreakHyphen/>
        <w:t>02</w:t>
        <w:noBreakHyphen/>
        <w:t>03</w:t>
      </w:r>
      <w:r>
        <w:rPr/>
        <w:t>）。</w:t>
      </w:r>
    </w:p>
    <w:p>
      <w:pPr>
        <w:pStyle w:val="3"/>
        <w:rPr/>
      </w:pPr>
      <w:r>
        <w:rPr/>
        <w:t xml:space="preserve">2.3 </w:t>
      </w:r>
      <w:r>
        <w:rPr/>
        <w:t>评估体系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医学评估：</w:t>
      </w:r>
      <w:r>
        <w:rPr/>
        <w:t>RIPAS</w:t>
      </w:r>
      <w:r>
        <w:rPr/>
        <w:t>医院</w:t>
      </w:r>
      <w:r>
        <w:rPr/>
        <w:t>CDC</w:t>
      </w:r>
      <w:r>
        <w:rPr/>
        <w:t>儿童发展中心完成多学科医学</w:t>
        <w:noBreakHyphen/>
        <w:t>发育评估；产出医学康复报告。</w:t>
      </w:r>
    </w:p>
    <w:p>
      <w:pPr>
        <w:pStyle w:val="Normal"/>
        <w:rPr/>
      </w:pPr>
      <w:r>
        <w:rPr/>
        <w:t>教育评估：普通学校</w:t>
      </w:r>
      <w:r>
        <w:rPr/>
        <w:t>SENA</w:t>
      </w:r>
      <w:r>
        <w:rPr/>
        <w:t>特教助理教师使用本土开发</w:t>
      </w:r>
      <w:r>
        <w:rPr>
          <w:b/>
          <w:bCs/>
        </w:rPr>
        <w:t>Priority Levels</w:t>
      </w:r>
      <w:r>
        <w:rPr>
          <w:b/>
          <w:bCs/>
        </w:rPr>
        <w:t>工具</w:t>
      </w:r>
      <w:r>
        <w:rPr/>
        <w:t>划分学生支持等级，仅用于教育部管辖普通学校；</w:t>
      </w:r>
      <w:r>
        <w:rPr>
          <w:b/>
          <w:bCs/>
        </w:rPr>
        <w:t>Ugama</w:t>
      </w:r>
      <w:r>
        <w:rPr>
          <w:b/>
          <w:bCs/>
        </w:rPr>
        <w:t>宗教学校无配套评估工具</w:t>
      </w:r>
      <w:r>
        <w:rPr/>
        <w:t>（</w:t>
      </w:r>
      <w:r>
        <w:rPr/>
        <w:t>Hjh Noraini,2024</w:t>
      </w:r>
      <w:r>
        <w:rPr/>
        <w:t>）。</w:t>
      </w:r>
    </w:p>
    <w:p>
      <w:pPr>
        <w:pStyle w:val="Normal"/>
        <w:rPr/>
      </w:pPr>
      <w:r>
        <w:rPr/>
        <w:t>现实操作：缺少官方标准化多学科联合评估流程；评估报告流转高度依赖家长自行携带递交，机构之间没有正式档案传递；</w:t>
      </w:r>
      <w:r>
        <w:rPr/>
        <w:t>FBA</w:t>
      </w:r>
      <w:r>
        <w:rPr/>
        <w:t>功能性行为评估主要在部分示范学校使用，并未全国普及（</w:t>
      </w:r>
      <w:r>
        <w:rPr/>
        <w:t>Harun et al.,2023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分层评估路径：医院</w:t>
      </w:r>
      <w:r>
        <w:rPr/>
        <w:t>/</w:t>
      </w:r>
      <w:r>
        <w:rPr/>
        <w:t>专科中心做医学诊断；</w:t>
      </w:r>
      <w:r>
        <w:rPr>
          <w:b/>
          <w:bCs/>
        </w:rPr>
        <w:t>MOE</w:t>
      </w:r>
      <w:r>
        <w:rPr>
          <w:b/>
          <w:bCs/>
        </w:rPr>
        <w:t>教育心理师承担教育层面诊断评估</w:t>
      </w:r>
      <w:r>
        <w:rPr/>
        <w:t>，学校提出转介，家长知情同意后启动；主流学校评估平均周期约</w:t>
      </w:r>
      <w:r>
        <w:rPr/>
        <w:t>2</w:t>
      </w:r>
      <w:r>
        <w:rPr/>
        <w:t>个月，评估期间学校同步提供临时支持，不会出现空窗期（</w:t>
      </w:r>
      <w:r>
        <w:rPr/>
        <w:t>MOE Singapore, 2026</w:t>
        <w:noBreakHyphen/>
        <w:t>02</w:t>
        <w:noBreakHyphen/>
        <w:t>03</w:t>
      </w:r>
      <w:r>
        <w:rPr/>
        <w:t>）。</w:t>
      </w:r>
    </w:p>
    <w:p>
      <w:pPr>
        <w:pStyle w:val="Normal"/>
        <w:rPr/>
      </w:pPr>
      <w:r>
        <w:rPr/>
        <w:t>多学科整合：教育心理、医疗康复、</w:t>
      </w:r>
      <w:r>
        <w:rPr/>
        <w:t>SEN</w:t>
      </w:r>
      <w:r>
        <w:rPr/>
        <w:t>教师协同；</w:t>
      </w:r>
      <w:r>
        <w:rPr/>
        <w:t>EIPIC</w:t>
      </w:r>
      <w:r>
        <w:rPr/>
        <w:t>早期干预产出正式评估档案，学前向小学转衔时机构之间直接移交资料，不完全依靠家长（</w:t>
      </w:r>
      <w:r>
        <w:rPr/>
        <w:t>MOE Singapore, 2026</w:t>
      </w:r>
      <w:r>
        <w:rPr/>
        <w:t>）。</w:t>
      </w:r>
    </w:p>
    <w:p>
      <w:pPr>
        <w:pStyle w:val="Normal"/>
        <w:rPr/>
      </w:pPr>
      <w:r>
        <w:rPr/>
        <w:t>工具标准化：使用国际经过验证量表，同时做本土常模适配；区分医学诊断和教育功能评估，即使无医学诊断，只要教育观察存在困难也可以获得校内支持。</w:t>
      </w:r>
    </w:p>
    <w:p>
      <w:pPr>
        <w:pStyle w:val="3"/>
        <w:rPr/>
      </w:pPr>
      <w:r>
        <w:rPr/>
        <w:t xml:space="preserve">2.4 </w:t>
      </w:r>
      <w:r>
        <w:rPr/>
        <w:t>干预流程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医学康复干预集中</w:t>
      </w:r>
      <w:r>
        <w:rPr/>
        <w:t>RIPAS</w:t>
      </w:r>
      <w:r>
        <w:rPr/>
        <w:t>医院</w:t>
      </w:r>
      <w:r>
        <w:rPr/>
        <w:t>CDC</w:t>
      </w:r>
      <w:r>
        <w:rPr/>
        <w:t>；民间</w:t>
      </w:r>
      <w:r>
        <w:rPr/>
        <w:t>NGO</w:t>
      </w:r>
      <w:r>
        <w:rPr/>
        <w:t>如</w:t>
      </w:r>
      <w:r>
        <w:rPr/>
        <w:t>Learning</w:t>
        <w:noBreakHyphen/>
        <w:t>Ladders</w:t>
      </w:r>
      <w:r>
        <w:rPr/>
        <w:t>提供自闭症</w:t>
      </w:r>
      <w:r>
        <w:rPr/>
        <w:t>ABA</w:t>
      </w:r>
      <w:r>
        <w:rPr/>
        <w:t>等付费补充干预（</w:t>
      </w:r>
      <w:r>
        <w:rPr/>
        <w:t>Learning Ladders Society,2024</w:t>
      </w:r>
      <w:r>
        <w:rPr/>
        <w:t>）。</w:t>
      </w:r>
    </w:p>
    <w:p>
      <w:pPr>
        <w:pStyle w:val="Normal"/>
        <w:rPr/>
      </w:pPr>
      <w:r>
        <w:rPr/>
        <w:t>学校干预：普通学校</w:t>
      </w:r>
      <w:r>
        <w:rPr/>
        <w:t>SENA</w:t>
      </w:r>
      <w:r>
        <w:rPr/>
        <w:t>教师提供校内支持；</w:t>
      </w:r>
      <w:r>
        <w:rPr/>
        <w:t>IEP</w:t>
      </w:r>
      <w:r>
        <w:rPr/>
        <w:t>为建议而非强制；缺少统一干预执行监督机制。</w:t>
      </w:r>
    </w:p>
    <w:p>
      <w:pPr>
        <w:pStyle w:val="Normal"/>
        <w:rPr/>
      </w:pPr>
      <w:r>
        <w:rPr/>
        <w:t>缺口：没有国家主导的社区层面标准化干预服务；等待医院评估排队阶段缺少官方过渡干预，只能依靠</w:t>
      </w:r>
      <w:r>
        <w:rPr/>
        <w:t>NGO</w:t>
      </w:r>
      <w:r>
        <w:rPr/>
        <w:t>和家长组织（</w:t>
      </w:r>
      <w:r>
        <w:rPr/>
        <w:t>Koay &amp; Lim,2025</w:t>
      </w:r>
      <w:r>
        <w:rPr/>
        <w:t>）；</w:t>
      </w:r>
      <w:r>
        <w:rPr/>
        <w:t>Ugama</w:t>
      </w:r>
      <w:r>
        <w:rPr/>
        <w:t>宗教课堂几乎没有配套干预流程（</w:t>
      </w:r>
      <w:r>
        <w:rPr/>
        <w:t>Harun et al.,2023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0</w:t>
        <w:noBreakHyphen/>
        <w:t>6</w:t>
      </w:r>
      <w:r>
        <w:rPr/>
        <w:t>岁：</w:t>
      </w:r>
      <w:r>
        <w:rPr/>
        <w:t>EIPIC</w:t>
      </w:r>
      <w:r>
        <w:rPr/>
        <w:t>早期干预中心提供密集多学科干预；</w:t>
      </w:r>
      <w:r>
        <w:rPr/>
        <w:t>InSP</w:t>
      </w:r>
      <w:r>
        <w:rPr/>
        <w:t>项目直接把干预嵌入普通幼儿园，减少来回奔波（</w:t>
      </w:r>
      <w:r>
        <w:rPr/>
        <w:t>ECDA, 2025</w:t>
      </w:r>
      <w:r>
        <w:rPr/>
        <w:t>）。</w:t>
      </w:r>
    </w:p>
    <w:p>
      <w:pPr>
        <w:pStyle w:val="Normal"/>
        <w:rPr/>
      </w:pPr>
      <w:r>
        <w:rPr/>
        <w:t>主流学校干预：</w:t>
      </w:r>
      <w:r>
        <w:rPr/>
        <w:t>SEN</w:t>
        <w:noBreakHyphen/>
        <w:t>Officer</w:t>
      </w:r>
      <w:r>
        <w:rPr/>
        <w:t>开展入班支持、抽离式小组训练；</w:t>
      </w:r>
      <w:r>
        <w:rPr/>
        <w:t>TRANSIT</w:t>
      </w:r>
      <w:r>
        <w:rPr/>
        <w:t>项目专门针对小学一年级社交行为困难学生，训练情绪调节、课堂习惯（</w:t>
      </w:r>
      <w:r>
        <w:rPr/>
        <w:t>MOE Singapore, 2026</w:t>
        <w:noBreakHyphen/>
        <w:t>01</w:t>
        <w:noBreakHyphen/>
        <w:t>16</w:t>
      </w:r>
      <w:r>
        <w:rPr/>
        <w:t>）。</w:t>
      </w:r>
    </w:p>
    <w:p>
      <w:pPr>
        <w:pStyle w:val="Normal"/>
        <w:rPr/>
      </w:pPr>
      <w:r>
        <w:rPr/>
        <w:t>SPED</w:t>
      </w:r>
      <w:r>
        <w:rPr/>
        <w:t>特殊学校：结构化课程、生活技能、职业预备训练，配套治疗师驻校；干预目标写入</w:t>
      </w:r>
      <w:r>
        <w:rPr/>
        <w:t>IEP</w:t>
      </w:r>
      <w:r>
        <w:rPr/>
        <w:t>，定期复盘修订（</w:t>
      </w:r>
      <w:r>
        <w:rPr/>
        <w:t>MOE,2025</w:t>
        <w:noBreakHyphen/>
        <w:t>11</w:t>
        <w:noBreakHyphen/>
        <w:t>18</w:t>
      </w:r>
      <w:r>
        <w:rPr/>
        <w:t>）。</w:t>
      </w:r>
    </w:p>
    <w:p>
      <w:pPr>
        <w:pStyle w:val="3"/>
        <w:rPr/>
      </w:pPr>
      <w:r>
        <w:rPr/>
        <w:t xml:space="preserve">2.5 </w:t>
      </w:r>
      <w:r>
        <w:rPr/>
        <w:t>转衔服务（康复</w:t>
        <w:noBreakHyphen/>
        <w:t>教育</w:t>
        <w:noBreakHyphen/>
        <w:t>学段</w:t>
        <w:noBreakHyphen/>
        <w:t>成人）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>
          <w:b/>
          <w:bCs/>
        </w:rPr>
        <w:t>无官方标准化跨部门转衔制度文件</w:t>
      </w:r>
      <w:r>
        <w:rPr/>
        <w:t>（</w:t>
      </w:r>
      <w:r>
        <w:rPr/>
        <w:t>Othman,2023</w:t>
      </w:r>
      <w:r>
        <w:rPr/>
        <w:t>）。</w:t>
      </w:r>
    </w:p>
    <w:p>
      <w:pPr>
        <w:pStyle w:val="Normal"/>
        <w:rPr/>
      </w:pPr>
      <w:r>
        <w:rPr/>
        <w:t>现实路径：医院评估报告由家长提交学校；学校识别问题建议家长自行去</w:t>
      </w:r>
      <w:r>
        <w:rPr/>
        <w:t>CDC</w:t>
      </w:r>
      <w:r>
        <w:rPr/>
        <w:t>排队评估；从幼儿园到小学、小学升中学缺少机构之间正式档案移交。</w:t>
      </w:r>
    </w:p>
    <w:p>
      <w:pPr>
        <w:pStyle w:val="Normal"/>
        <w:rPr/>
      </w:pPr>
      <w:r>
        <w:rPr/>
        <w:t>重大制度痛点：儿童同时就读普通学校</w:t>
      </w:r>
      <w:r>
        <w:rPr/>
        <w:t>+Ugama</w:t>
      </w:r>
      <w:r>
        <w:rPr/>
        <w:t>宗教学校两套系统，评估与康复信息无法同步至宗教课堂；学校向成人就业转衔的制度几乎空白；转衔完全依赖家庭与零散</w:t>
      </w:r>
      <w:r>
        <w:rPr/>
        <w:t>NGO</w:t>
      </w:r>
      <w:r>
        <w:rPr/>
        <w:t>（</w:t>
      </w:r>
      <w:r>
        <w:rPr/>
        <w:t>Harun et al.,2023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学前</w:t>
      </w:r>
      <w:r>
        <w:rPr/>
        <w:t>EIPIC</w:t>
      </w:r>
      <w:r>
        <w:rPr/>
        <w:t>向小学：机构之间正式转衔档案移交，提前把儿童需求告知接收小学，用于分班与资源规划（</w:t>
      </w:r>
      <w:r>
        <w:rPr/>
        <w:t>MOE,2026</w:t>
        <w:noBreakHyphen/>
        <w:t>02</w:t>
        <w:noBreakHyphen/>
        <w:t>03</w:t>
      </w:r>
      <w:r>
        <w:rPr/>
        <w:t>）。</w:t>
      </w:r>
    </w:p>
    <w:p>
      <w:pPr>
        <w:pStyle w:val="Normal"/>
        <w:rPr/>
      </w:pPr>
      <w:r>
        <w:rPr/>
        <w:t>校内学段转衔：小学</w:t>
        <w:noBreakHyphen/>
        <w:t>中学传递</w:t>
      </w:r>
      <w:r>
        <w:rPr/>
        <w:t>SEN</w:t>
      </w:r>
      <w:r>
        <w:rPr/>
        <w:t>档案，教育心理师跟进；普通学校</w:t>
        <w:noBreakHyphen/>
      </w:r>
      <w:r>
        <w:rPr/>
        <w:t>SPED</w:t>
      </w:r>
      <w:r>
        <w:rPr/>
        <w:t>学校之间存在规范转介流程，由教育部统一审核，不由家长自行申请。</w:t>
      </w:r>
    </w:p>
    <w:p>
      <w:pPr>
        <w:pStyle w:val="Normal"/>
        <w:rPr/>
      </w:pPr>
      <w:r>
        <w:rPr/>
        <w:t>学校</w:t>
        <w:noBreakHyphen/>
        <w:t>就业转衔：</w:t>
      </w:r>
      <w:r>
        <w:rPr/>
        <w:t>School</w:t>
        <w:noBreakHyphen/>
        <w:t>to</w:t>
        <w:noBreakHyphen/>
        <w:t>Work</w:t>
      </w:r>
      <w:r>
        <w:rPr/>
        <w:t>（</w:t>
      </w:r>
      <w:r>
        <w:rPr/>
        <w:t>S2W</w:t>
      </w:r>
      <w:r>
        <w:rPr/>
        <w:t>）项目；</w:t>
      </w:r>
      <w:r>
        <w:rPr/>
        <w:t>ITE</w:t>
        <w:noBreakHyphen/>
        <w:t>SG</w:t>
        <w:noBreakHyphen/>
        <w:t>Enable</w:t>
      </w:r>
      <w:r>
        <w:rPr/>
        <w:t>实习就业支持计划；</w:t>
      </w:r>
      <w:r>
        <w:rPr/>
        <w:t>SPED</w:t>
      </w:r>
      <w:r>
        <w:rPr/>
        <w:t>中学阶段就制定个人成人过渡计划</w:t>
      </w:r>
      <w:r>
        <w:rPr/>
        <w:t>Individual</w:t>
        <w:noBreakHyphen/>
        <w:t>Transition</w:t>
        <w:noBreakHyphen/>
        <w:t>Plan</w:t>
      </w:r>
      <w:r>
        <w:rPr/>
        <w:t>（</w:t>
      </w:r>
      <w:r>
        <w:rPr/>
        <w:t>MOE,2025</w:t>
        <w:noBreakHyphen/>
        <w:t>11</w:t>
        <w:noBreakHyphen/>
        <w:t>18</w:t>
      </w:r>
      <w:r>
        <w:rPr/>
        <w:t>；</w:t>
      </w:r>
      <w:r>
        <w:rPr/>
        <w:t>MOE,2026</w:t>
        <w:noBreakHyphen/>
        <w:t>01</w:t>
        <w:noBreakHyphen/>
        <w:t>02</w:t>
      </w:r>
      <w:r>
        <w:rPr/>
        <w:t>）。</w:t>
      </w:r>
    </w:p>
    <w:p>
      <w:pPr>
        <w:pStyle w:val="3"/>
        <w:rPr/>
      </w:pPr>
      <w:r>
        <w:rPr/>
        <w:t xml:space="preserve">2.6 </w:t>
      </w:r>
      <w:r>
        <w:rPr/>
        <w:t>社区服务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政府层面：没有国家标准化</w:t>
      </w:r>
      <w:r>
        <w:rPr/>
        <w:t>CBR</w:t>
      </w:r>
      <w:r>
        <w:rPr/>
        <w:t>社区康复体系；青年文化部开展零散外展家访项目，服务频次有限（</w:t>
      </w:r>
      <w:r>
        <w:rPr/>
        <w:t>Abang,2023</w:t>
      </w:r>
      <w:r>
        <w:rPr/>
        <w:t>）。</w:t>
      </w:r>
    </w:p>
    <w:p>
      <w:pPr>
        <w:pStyle w:val="Normal"/>
        <w:rPr/>
      </w:pPr>
      <w:r>
        <w:rPr/>
        <w:t>民间补充：家长主导</w:t>
      </w:r>
      <w:r>
        <w:rPr/>
        <w:t>NGO Learning</w:t>
        <w:noBreakHyphen/>
        <w:t>Ladders</w:t>
      </w:r>
      <w:r>
        <w:rPr/>
        <w:t>等承担部分社区科普、家长互助；社区清真寺具备很高社会公信力，但尚未系统纳入特殊儿童支持体系（</w:t>
      </w:r>
      <w:r>
        <w:rPr/>
        <w:t>Yusoff et al.,2022</w:t>
      </w:r>
      <w:r>
        <w:rPr/>
        <w:t>，马来西亚研究可类比文莱社会文化）。</w:t>
      </w:r>
    </w:p>
    <w:p>
      <w:pPr>
        <w:pStyle w:val="Normal"/>
        <w:rPr/>
      </w:pPr>
      <w:r>
        <w:rPr/>
        <w:t>短板：社区缺少常驻康复治疗师；农村郊区社区资源严重不足。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MSF</w:t>
      </w:r>
      <w:r>
        <w:rPr/>
        <w:t>、</w:t>
      </w:r>
      <w:r>
        <w:rPr/>
        <w:t>SG</w:t>
        <w:noBreakHyphen/>
        <w:t>Enable</w:t>
      </w:r>
      <w:r>
        <w:rPr/>
        <w:t>统筹社区网络；</w:t>
      </w:r>
      <w:r>
        <w:rPr/>
        <w:t>EIPIC</w:t>
      </w:r>
      <w:r>
        <w:rPr/>
        <w:t>属于社区早期干预核心节点；大量社会服务机构</w:t>
      </w:r>
      <w:r>
        <w:rPr/>
        <w:t>SSA</w:t>
      </w:r>
      <w:r>
        <w:rPr/>
        <w:t>（</w:t>
      </w:r>
      <w:r>
        <w:rPr/>
        <w:t>AWWA</w:t>
      </w:r>
      <w:r>
        <w:rPr/>
        <w:t>、</w:t>
      </w:r>
      <w:r>
        <w:rPr/>
        <w:t>Rainbow</w:t>
        <w:noBreakHyphen/>
        <w:t>Centre</w:t>
      </w:r>
      <w:r>
        <w:rPr/>
        <w:t>等）承接社区康复、日间照料、喘息服务。</w:t>
      </w:r>
    </w:p>
    <w:p>
      <w:pPr>
        <w:pStyle w:val="Normal"/>
        <w:rPr/>
      </w:pPr>
      <w:r>
        <w:rPr/>
        <w:t>社区</w:t>
        <w:noBreakHyphen/>
        <w:t>学校联动紧密；残障支持嵌入社区家庭服务中心；同时面向儿童以及向青少年、成人延伸完整社区服务链条（</w:t>
      </w:r>
      <w:r>
        <w:rPr/>
        <w:t>Goh &amp; Malik,2024</w:t>
      </w:r>
      <w:r>
        <w:rPr/>
        <w:t>）。</w:t>
      </w:r>
    </w:p>
    <w:p>
      <w:pPr>
        <w:pStyle w:val="3"/>
        <w:rPr/>
      </w:pPr>
      <w:r>
        <w:rPr/>
        <w:t xml:space="preserve">2.7 </w:t>
      </w:r>
      <w:r>
        <w:rPr/>
        <w:t>家庭支持（心理赋能、家长培训、同伴小组）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现金福利：</w:t>
      </w:r>
      <w:r>
        <w:rPr/>
        <w:t>15</w:t>
      </w:r>
      <w:r>
        <w:rPr/>
        <w:t>岁以下残障儿童享有政府月度残障津贴（</w:t>
      </w:r>
      <w:r>
        <w:rPr/>
        <w:t>Borgen</w:t>
        <w:noBreakHyphen/>
        <w:t>Project,2026</w:t>
      </w:r>
      <w:r>
        <w:rPr/>
        <w:t>）。</w:t>
      </w:r>
    </w:p>
    <w:p>
      <w:pPr>
        <w:pStyle w:val="Normal"/>
        <w:rPr/>
      </w:pPr>
      <w:r>
        <w:rPr/>
        <w:t>局限：政府层面缺少系统化家长培训、家长心理支持项目；家长互助主要依靠民间</w:t>
      </w:r>
      <w:r>
        <w:rPr/>
        <w:t>NGO</w:t>
      </w:r>
      <w:r>
        <w:rPr/>
        <w:t>；</w:t>
      </w:r>
      <w:r>
        <w:rPr/>
        <w:t>E</w:t>
        <w:noBreakHyphen/>
        <w:t>RIC</w:t>
      </w:r>
      <w:r>
        <w:rPr/>
        <w:t>（</w:t>
      </w:r>
      <w:r>
        <w:rPr/>
        <w:t>2022</w:t>
      </w:r>
      <w:r>
        <w:rPr/>
        <w:t>）实证调研发现超过</w:t>
      </w:r>
      <w:r>
        <w:rPr/>
        <w:t>60%</w:t>
      </w:r>
      <w:r>
        <w:rPr/>
        <w:t>特殊儿童家长存在中高水平压力；部分家庭存在病耻感，宗教信仰同时是心理资源也带来认知冲突；没有官方喘息照护服务（</w:t>
      </w:r>
      <w:r>
        <w:rPr/>
        <w:t>E</w:t>
        <w:noBreakHyphen/>
        <w:t>RIC Brunei, 2022</w:t>
      </w:r>
      <w:r>
        <w:rPr/>
        <w:t>；</w:t>
      </w:r>
      <w:r>
        <w:rPr/>
        <w:t>Siti et al., 2024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经济补贴：</w:t>
      </w:r>
      <w:r>
        <w:rPr/>
        <w:t>EIPIC</w:t>
      </w:r>
      <w:r>
        <w:rPr/>
        <w:t>、</w:t>
      </w:r>
      <w:r>
        <w:rPr/>
        <w:t>SPED</w:t>
      </w:r>
      <w:r>
        <w:rPr/>
        <w:t>学费补贴；残障儿童家庭税务减免；喘息照护服务由</w:t>
      </w:r>
      <w:r>
        <w:rPr/>
        <w:t>SSA</w:t>
      </w:r>
      <w:r>
        <w:rPr/>
        <w:t>社会机构提供。</w:t>
      </w:r>
    </w:p>
    <w:p>
      <w:pPr>
        <w:pStyle w:val="Normal"/>
        <w:rPr/>
      </w:pPr>
      <w:r>
        <w:rPr/>
        <w:t>多元心理与同伴支持：</w:t>
      </w:r>
      <w:r>
        <w:rPr/>
        <w:t>SPED</w:t>
      </w:r>
      <w:r>
        <w:rPr/>
        <w:t>学校试点</w:t>
      </w:r>
      <w:r>
        <w:rPr>
          <w:b/>
          <w:bCs/>
        </w:rPr>
        <w:t>家长同伴支持项目</w:t>
      </w:r>
      <w:r>
        <w:rPr>
          <w:b/>
          <w:bCs/>
        </w:rPr>
        <w:t>Parent</w:t>
        <w:noBreakHyphen/>
        <w:t>Peer</w:t>
        <w:noBreakHyphen/>
        <w:t>Support</w:t>
        <w:noBreakHyphen/>
        <w:t>Programme</w:t>
      </w:r>
      <w:r>
        <w:rPr/>
        <w:t>；提供家长讲座、线上资源、等候期居家指导；重视照护者心理健康，不只做儿童技能培训（</w:t>
      </w:r>
      <w:r>
        <w:rPr/>
        <w:t>MOE,2026</w:t>
        <w:noBreakHyphen/>
        <w:t>03</w:t>
        <w:noBreakHyphen/>
        <w:t>03</w:t>
      </w:r>
      <w:r>
        <w:rPr/>
        <w:t>；</w:t>
      </w:r>
      <w:r>
        <w:rPr/>
        <w:t>Thye</w:t>
        <w:noBreakHyphen/>
        <w:t>Hua</w:t>
        <w:noBreakHyphen/>
        <w:t>Kwan,2024</w:t>
      </w:r>
      <w:r>
        <w:rPr/>
        <w:t>）。</w:t>
      </w:r>
    </w:p>
    <w:p>
      <w:pPr>
        <w:pStyle w:val="Normal"/>
        <w:rPr/>
      </w:pPr>
      <w:r>
        <w:rPr/>
        <w:t>家校协同制度化：家长是</w:t>
      </w:r>
      <w:r>
        <w:rPr/>
        <w:t>IEP</w:t>
      </w:r>
      <w:r>
        <w:rPr/>
        <w:t>制定核心参与者，学校需要定期向家长反馈进步，而不只是报告问题。</w:t>
      </w:r>
    </w:p>
    <w:p>
      <w:pPr>
        <w:pStyle w:val="3"/>
        <w:rPr/>
      </w:pPr>
      <w:r>
        <w:rPr/>
        <w:t xml:space="preserve">2.8 </w:t>
      </w:r>
      <w:r>
        <w:rPr/>
        <w:t>医疗保障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公立医疗普惠：公民永久居民享有低价公立医疗；</w:t>
      </w:r>
      <w:r>
        <w:rPr/>
        <w:t>RIPAS</w:t>
        <w:noBreakHyphen/>
        <w:t>CDC</w:t>
      </w:r>
      <w:r>
        <w:rPr/>
        <w:t>提供物理治疗、作业治疗、言语治疗；但治疗师集中首都，排队时间长（</w:t>
      </w:r>
      <w:r>
        <w:rPr/>
        <w:t>Abang, 2023</w:t>
      </w:r>
      <w:r>
        <w:rPr/>
        <w:t>）。</w:t>
      </w:r>
    </w:p>
    <w:p>
      <w:pPr>
        <w:pStyle w:val="Normal"/>
        <w:rPr/>
      </w:pPr>
      <w:r>
        <w:rPr/>
        <w:t>局限：康复主要以医院门诊模式为主；缺少居家康复、社区上门康复；辅助器具部分需要自费；缺少医疗</w:t>
        <w:noBreakHyphen/>
        <w:t>教育联合门诊常态化机制。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公立</w:t>
      </w:r>
      <w:r>
        <w:rPr/>
        <w:t>+</w:t>
      </w:r>
      <w:r>
        <w:rPr/>
        <w:t>私立并存；医保、政府补贴覆盖大部分儿童康复评估与治疗费用；新生儿听力植入等项目获得政府资助。</w:t>
      </w:r>
    </w:p>
    <w:p>
      <w:pPr>
        <w:pStyle w:val="Normal"/>
        <w:rPr/>
      </w:pPr>
      <w:r>
        <w:rPr/>
        <w:t>医疗与教育系统建立转介对接通道；医院康复团队定期与</w:t>
      </w:r>
      <w:r>
        <w:rPr/>
        <w:t>EIPIC</w:t>
      </w:r>
      <w:r>
        <w:rPr/>
        <w:t>、学校开展个案沟通；</w:t>
      </w:r>
      <w:r>
        <w:rPr/>
        <w:t>REACH</w:t>
      </w:r>
      <w:r>
        <w:rPr/>
        <w:t>社区心理医疗网络对接学校心理健康需求（</w:t>
      </w:r>
      <w:r>
        <w:rPr/>
        <w:t>MOE Singapore,2026</w:t>
        <w:noBreakHyphen/>
        <w:t>02</w:t>
        <w:noBreakHyphen/>
        <w:t>03</w:t>
      </w:r>
      <w:r>
        <w:rPr/>
        <w:t>）。</w:t>
      </w:r>
    </w:p>
    <w:p>
      <w:pPr>
        <w:pStyle w:val="3"/>
        <w:rPr/>
      </w:pPr>
      <w:r>
        <w:rPr/>
        <w:t xml:space="preserve">2.9 </w:t>
      </w:r>
      <w:r>
        <w:rPr/>
        <w:t>教育教学手段、师资建设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BDTA</w:t>
      </w:r>
      <w:r>
        <w:rPr/>
        <w:t>教师学院开设融合教育模块课程；但培训覆盖面有限，大量普通教师、</w:t>
      </w:r>
      <w:r>
        <w:rPr/>
        <w:t>Ugama</w:t>
      </w:r>
      <w:r>
        <w:rPr/>
        <w:t>宗教学校教师只接受短期入门培训；</w:t>
      </w:r>
      <w:r>
        <w:rPr/>
        <w:t>SENA</w:t>
      </w:r>
      <w:r>
        <w:rPr/>
        <w:t>特教助理教师编制有限（</w:t>
      </w:r>
      <w:r>
        <w:rPr/>
        <w:t>Harun et al., 2025</w:t>
      </w:r>
      <w:r>
        <w:rPr/>
        <w:t>）。</w:t>
      </w:r>
    </w:p>
    <w:p>
      <w:pPr>
        <w:pStyle w:val="Normal"/>
        <w:rPr/>
      </w:pPr>
      <w:r>
        <w:rPr/>
        <w:t>教学策略：推广差异化教学；</w:t>
      </w:r>
      <w:r>
        <w:rPr>
          <w:b/>
          <w:bCs/>
        </w:rPr>
        <w:t>UDL</w:t>
      </w:r>
      <w:r>
        <w:rPr>
          <w:b/>
          <w:bCs/>
        </w:rPr>
        <w:t>通用设计学习尚未系统性推广</w:t>
      </w:r>
      <w:r>
        <w:rPr/>
        <w:t>；</w:t>
      </w:r>
      <w:r>
        <w:rPr/>
        <w:t>IEP</w:t>
      </w:r>
      <w:r>
        <w:rPr/>
        <w:t>非强制，个别化落实程度取决于学校校长认知；示范学校效果较好，但校际差距巨大。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NIE</w:t>
      </w:r>
      <w:r>
        <w:rPr/>
        <w:t>国立教育学院扩大特殊教育文凭招生名额（</w:t>
      </w:r>
      <w:r>
        <w:rPr/>
        <w:t>2025</w:t>
      </w:r>
      <w:r>
        <w:rPr/>
        <w:t>提升到</w:t>
      </w:r>
      <w:r>
        <w:rPr/>
        <w:t>180</w:t>
      </w:r>
      <w:r>
        <w:rPr/>
        <w:t>席位每年）；设立</w:t>
      </w:r>
      <w:r>
        <w:rPr/>
        <w:t>SEN</w:t>
        <w:noBreakHyphen/>
        <w:t>Officer</w:t>
      </w:r>
      <w:r>
        <w:rPr/>
        <w:t>、</w:t>
      </w:r>
      <w:r>
        <w:rPr/>
        <w:t>Allied</w:t>
        <w:noBreakHyphen/>
        <w:t>Educator</w:t>
      </w:r>
      <w:r>
        <w:rPr/>
        <w:t>岗位驻校支持普通班级；建立</w:t>
      </w:r>
      <w:r>
        <w:rPr/>
        <w:t>SPED</w:t>
      </w:r>
      <w:r>
        <w:rPr/>
        <w:t>教师实践共同体</w:t>
      </w:r>
      <w:r>
        <w:rPr/>
        <w:t>COP</w:t>
      </w:r>
      <w:r>
        <w:rPr/>
        <w:t>，跨校分享干预案例（</w:t>
      </w:r>
      <w:r>
        <w:rPr/>
        <w:t>MOE,2026</w:t>
        <w:noBreakHyphen/>
        <w:t>03</w:t>
        <w:noBreakHyphen/>
        <w:t>03</w:t>
      </w:r>
      <w:r>
        <w:rPr/>
        <w:t>；</w:t>
      </w:r>
      <w:r>
        <w:rPr/>
        <w:t>MOE,2026</w:t>
        <w:noBreakHyphen/>
        <w:t>01</w:t>
        <w:noBreakHyphen/>
        <w:t>02</w:t>
      </w:r>
      <w:r>
        <w:rPr/>
        <w:t>）。</w:t>
      </w:r>
    </w:p>
    <w:p>
      <w:pPr>
        <w:pStyle w:val="Normal"/>
        <w:rPr/>
      </w:pPr>
      <w:r>
        <w:rPr/>
        <w:t>教学：主流学校推行</w:t>
      </w:r>
      <w:r>
        <w:rPr/>
        <w:t>UDL</w:t>
      </w:r>
      <w:r>
        <w:rPr/>
        <w:t>通用设计学习、分层差异化教学；</w:t>
      </w:r>
      <w:r>
        <w:rPr/>
        <w:t>SPED</w:t>
      </w:r>
      <w:r>
        <w:rPr/>
        <w:t>学校结合国家课程与生活技能、职业预备课程；普通学校</w:t>
        <w:noBreakHyphen/>
      </w:r>
      <w:r>
        <w:rPr/>
        <w:t>SPED</w:t>
      </w:r>
      <w:r>
        <w:rPr/>
        <w:t>学校结对伙伴项目，促进普通学生与特殊需要学生互动融合（</w:t>
      </w:r>
      <w:r>
        <w:rPr/>
        <w:t>MOE,2025</w:t>
        <w:noBreakHyphen/>
        <w:t>11</w:t>
        <w:noBreakHyphen/>
        <w:t>18</w:t>
      </w:r>
      <w:r>
        <w:rPr/>
        <w:t>）。</w:t>
      </w:r>
    </w:p>
    <w:p>
      <w:pPr>
        <w:pStyle w:val="3"/>
        <w:rPr/>
      </w:pPr>
      <w:r>
        <w:rPr/>
        <w:t xml:space="preserve">2.10 </w:t>
      </w:r>
      <w:r>
        <w:rPr/>
        <w:t>就业指导与支持（从学校向成人过渡）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政策层面提倡残障就业，但缺少强制合理调整（</w:t>
      </w:r>
      <w:r>
        <w:rPr/>
        <w:t>reasonable</w:t>
        <w:noBreakHyphen/>
        <w:t>adjustment</w:t>
      </w:r>
      <w:r>
        <w:rPr/>
        <w:t>）法律条款；私营企业雇主接纳度有限；劳动年龄残障人士正式经济参与率不足</w:t>
      </w:r>
      <w:r>
        <w:rPr/>
        <w:t>10%</w:t>
      </w:r>
      <w:r>
        <w:rPr/>
        <w:t>（</w:t>
      </w:r>
      <w:r>
        <w:rPr/>
        <w:t>Expat</w:t>
        <w:noBreakHyphen/>
        <w:t>Focus,2026</w:t>
      </w:r>
      <w:r>
        <w:rPr/>
        <w:t>）。</w:t>
      </w:r>
    </w:p>
    <w:p>
      <w:pPr>
        <w:pStyle w:val="Normal"/>
        <w:rPr/>
      </w:pPr>
      <w:r>
        <w:rPr/>
        <w:t>学校端：部分中学开设前职业数字技能课程；</w:t>
      </w:r>
      <w:r>
        <w:rPr>
          <w:b/>
          <w:bCs/>
        </w:rPr>
        <w:t>缺少系统校内职业评估、实习、岗位教练</w:t>
      </w:r>
      <w:r>
        <w:rPr>
          <w:b/>
          <w:bCs/>
        </w:rPr>
        <w:t>Job</w:t>
        <w:noBreakHyphen/>
        <w:t>Coach</w:t>
      </w:r>
      <w:r>
        <w:rPr>
          <w:b/>
          <w:bCs/>
        </w:rPr>
        <w:t>制度</w:t>
      </w:r>
      <w:r>
        <w:rPr/>
        <w:t>；学校</w:t>
        <w:noBreakHyphen/>
        <w:t>就业的转衔链条断裂；主要依靠家庭自主寻找出路（</w:t>
      </w:r>
      <w:r>
        <w:rPr/>
        <w:t>Borgen</w:t>
        <w:noBreakHyphen/>
        <w:t>Project, 2026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SG</w:t>
        <w:noBreakHyphen/>
        <w:t>Enable</w:t>
      </w:r>
      <w:r>
        <w:rPr/>
        <w:t>作为主管机构；</w:t>
      </w:r>
      <w:r>
        <w:rPr/>
        <w:t>S2W</w:t>
      </w:r>
      <w:r>
        <w:rPr/>
        <w:t>学校到工作项目、</w:t>
      </w:r>
      <w:r>
        <w:rPr/>
        <w:t>ITE</w:t>
        <w:noBreakHyphen/>
        <w:t>SG</w:t>
        <w:noBreakHyphen/>
        <w:t>Enable</w:t>
      </w:r>
      <w:r>
        <w:rPr/>
        <w:t>实习就业计划；配备岗位教练</w:t>
      </w:r>
      <w:r>
        <w:rPr/>
        <w:t>Job</w:t>
        <w:noBreakHyphen/>
        <w:t>Coach</w:t>
      </w:r>
      <w:r>
        <w:rPr/>
        <w:t>支持青年残障人士入职适应（</w:t>
      </w:r>
      <w:r>
        <w:rPr/>
        <w:t>MOE,2025</w:t>
        <w:noBreakHyphen/>
        <w:t>11</w:t>
        <w:noBreakHyphen/>
        <w:t>18</w:t>
      </w:r>
      <w:r>
        <w:rPr/>
        <w:t>；</w:t>
      </w:r>
      <w:r>
        <w:rPr/>
        <w:t>MOE,2026</w:t>
        <w:noBreakHyphen/>
        <w:t>01</w:t>
        <w:noBreakHyphen/>
        <w:t>02</w:t>
      </w:r>
      <w:r>
        <w:rPr/>
        <w:t>）。</w:t>
      </w:r>
    </w:p>
    <w:p>
      <w:pPr>
        <w:pStyle w:val="Normal"/>
        <w:rPr/>
      </w:pPr>
      <w:r>
        <w:rPr/>
        <w:t>激励机制：政府对雇佣残障人士企业提供补贴；开展雇主宣传；</w:t>
      </w:r>
      <w:r>
        <w:rPr/>
        <w:t>SPED</w:t>
      </w:r>
      <w:r>
        <w:rPr/>
        <w:t>中学阶段即开展职业测评、校内实训、外部实习。仍然存在挑战：部分雇主偏见，中重度残障青年就业依旧困难（</w:t>
      </w:r>
      <w:r>
        <w:rPr/>
        <w:t>Manokara,2024</w:t>
      </w:r>
      <w:r>
        <w:rPr/>
        <w:t>）。</w:t>
      </w:r>
    </w:p>
    <w:p>
      <w:pPr>
        <w:pStyle w:val="3"/>
        <w:rPr/>
      </w:pPr>
      <w:r>
        <w:rPr/>
        <w:t xml:space="preserve">2.11 </w:t>
      </w:r>
      <w:r>
        <w:rPr/>
        <w:t>技术投入与辅助技术引进（</w:t>
      </w:r>
      <w:r>
        <w:rPr/>
        <w:t>Assistive</w:t>
        <w:noBreakHyphen/>
        <w:t>Technology</w:t>
      </w:r>
      <w:r>
        <w:rPr/>
        <w:t>）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医院层面引进部分高端医疗机器人外科设备；面向特殊教育的辅助技术投入规模有限（</w:t>
      </w:r>
      <w:r>
        <w:rPr/>
        <w:t>Ministry</w:t>
        <w:noBreakHyphen/>
        <w:t>of</w:t>
        <w:noBreakHyphen/>
        <w:t>Health</w:t>
        <w:noBreakHyphen/>
        <w:t>Brunei,2026</w:t>
      </w:r>
      <w:r>
        <w:rPr/>
        <w:t>）。</w:t>
      </w:r>
    </w:p>
    <w:p>
      <w:pPr>
        <w:pStyle w:val="Normal"/>
        <w:rPr/>
      </w:pPr>
      <w:r>
        <w:rPr/>
        <w:t>现状：辅助器具主要依靠医院门诊申请，缺少统一补贴采购体系；学校辅助技术设备集中少数示范学校；教师缺少辅助技术系统培训；数字融合学习尚处在起步阶段（</w:t>
      </w:r>
      <w:r>
        <w:rPr/>
        <w:t>Expat</w:t>
        <w:noBreakHyphen/>
        <w:t>Focus,2026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政府为公民听障、视障学生免费提供助听设备、放大阅读器等辅助技术；多类读屏、文本转语音软件进入学校（</w:t>
      </w:r>
      <w:r>
        <w:rPr/>
        <w:t>MOE,2026</w:t>
        <w:noBreakHyphen/>
        <w:t>01</w:t>
        <w:noBreakHyphen/>
        <w:t>16</w:t>
      </w:r>
      <w:r>
        <w:rPr/>
        <w:t>）。</w:t>
      </w:r>
    </w:p>
    <w:p>
      <w:pPr>
        <w:pStyle w:val="Normal"/>
        <w:rPr/>
      </w:pPr>
      <w:r>
        <w:rPr/>
        <w:t>短板（本土实证）：教师群体的辅助技术</w:t>
      </w:r>
      <w:r>
        <w:rPr/>
        <w:t>AT</w:t>
      </w:r>
      <w:r>
        <w:rPr/>
        <w:t>培训仍然不足，很多学校依靠个别热心教师推动</w:t>
      </w:r>
      <w:r>
        <w:rPr/>
        <w:t>AT</w:t>
      </w:r>
      <w:r>
        <w:rPr/>
        <w:t>使用；资源分配校际不均衡（</w:t>
      </w:r>
      <w:r>
        <w:rPr/>
        <w:t>Chong &amp; Victor, 2024</w:t>
      </w:r>
      <w:r>
        <w:rPr/>
        <w:t>；</w:t>
      </w:r>
      <w:r>
        <w:rPr/>
        <w:t>Daud,2023</w:t>
      </w:r>
      <w:r>
        <w:rPr/>
        <w:t>）；政府持续探索数字平台、</w:t>
      </w:r>
      <w:r>
        <w:rPr/>
        <w:t>AI</w:t>
      </w:r>
      <w:r>
        <w:rPr/>
        <w:t>辅助学习工具用于</w:t>
      </w:r>
      <w:r>
        <w:rPr/>
        <w:t>SPED</w:t>
      </w:r>
      <w:r>
        <w:rPr/>
        <w:t>学校管理与教学。</w:t>
      </w:r>
    </w:p>
    <w:p>
      <w:pPr>
        <w:pStyle w:val="2"/>
        <w:rPr/>
      </w:pPr>
      <w:r>
        <w:rPr/>
        <w:t xml:space="preserve">3 </w:t>
      </w:r>
      <w:r>
        <w:rPr/>
        <w:t>综合讨论：共性挑战与国别特有困境</w:t>
      </w:r>
    </w:p>
    <w:p>
      <w:pPr>
        <w:pStyle w:val="3"/>
        <w:rPr/>
      </w:pPr>
      <w:r>
        <w:rPr/>
        <w:t xml:space="preserve">3.1 </w:t>
      </w:r>
      <w:r>
        <w:rPr/>
        <w:t>两国共同挑战</w:t>
      </w:r>
    </w:p>
    <w:p>
      <w:pPr>
        <w:pStyle w:val="Normal"/>
        <w:rPr/>
      </w:pPr>
      <w:r>
        <w:rPr>
          <w:b/>
          <w:bCs/>
        </w:rPr>
        <w:t>教师能力短板</w:t>
      </w:r>
      <w:r>
        <w:rPr/>
        <w:t>：即使新加坡，一线普通教师在辅助技术、行为干预、文化回应实践上培训依旧不足；文莱培训覆盖面不足，尤其宗教学校教师资源缺口大。</w:t>
      </w:r>
    </w:p>
    <w:p>
      <w:pPr>
        <w:pStyle w:val="Normal"/>
        <w:rPr/>
      </w:pPr>
      <w:r>
        <w:rPr>
          <w:b/>
          <w:bCs/>
        </w:rPr>
        <w:t>辅助技术落地落差</w:t>
      </w:r>
      <w:r>
        <w:rPr/>
        <w:t>：硬件可以采购，但教师使用能力、维护、适配评估不足，设备容易闲置。</w:t>
      </w:r>
    </w:p>
    <w:p>
      <w:pPr>
        <w:pStyle w:val="Normal"/>
        <w:rPr/>
      </w:pPr>
      <w:r>
        <w:rPr>
          <w:b/>
          <w:bCs/>
        </w:rPr>
        <w:t>残障青年就业壁垒</w:t>
      </w:r>
      <w:r>
        <w:rPr/>
        <w:t>：高收入不等于高就业率，雇主态度、岗位合理调整制度是共同瓶颈。</w:t>
      </w:r>
    </w:p>
    <w:p>
      <w:pPr>
        <w:pStyle w:val="Normal"/>
        <w:rPr/>
      </w:pPr>
      <w:r>
        <w:rPr>
          <w:b/>
          <w:bCs/>
        </w:rPr>
        <w:t>家庭心理负担</w:t>
      </w:r>
      <w:r>
        <w:rPr/>
        <w:t>：特殊儿童照护者普遍承受高压力，仅仅提供儿童康复训练不足以保障整体服务成效（</w:t>
      </w:r>
      <w:r>
        <w:rPr/>
        <w:t>Mohd et al., 2024</w:t>
      </w:r>
      <w:r>
        <w:rPr/>
        <w:t>；</w:t>
      </w:r>
      <w:r>
        <w:rPr/>
        <w:t>E</w:t>
        <w:noBreakHyphen/>
        <w:t>RIC Brunei,2022</w:t>
      </w:r>
      <w:r>
        <w:rPr/>
        <w:t>）。</w:t>
      </w:r>
    </w:p>
    <w:p>
      <w:pPr>
        <w:pStyle w:val="3"/>
        <w:rPr/>
      </w:pPr>
      <w:r>
        <w:rPr/>
        <w:t xml:space="preserve">3.2 </w:t>
      </w:r>
      <w:r>
        <w:rPr/>
        <w:t>文莱特有结构性困境</w:t>
      </w:r>
    </w:p>
    <w:p>
      <w:pPr>
        <w:pStyle w:val="Normal"/>
        <w:rPr/>
      </w:pPr>
      <w:r>
        <w:rPr>
          <w:b/>
          <w:bCs/>
        </w:rPr>
        <w:t>双教育行政体系（教育部</w:t>
      </w:r>
      <w:r>
        <w:rPr>
          <w:b/>
          <w:bCs/>
        </w:rPr>
        <w:t>+</w:t>
      </w:r>
      <w:r>
        <w:rPr>
          <w:b/>
          <w:bCs/>
        </w:rPr>
        <w:t>宗教部</w:t>
      </w:r>
      <w:r>
        <w:rPr>
          <w:b/>
          <w:bCs/>
        </w:rPr>
        <w:t>MoRA</w:t>
      </w:r>
      <w:r>
        <w:rPr>
          <w:b/>
          <w:bCs/>
        </w:rPr>
        <w:t>）</w:t>
      </w:r>
      <w:r>
        <w:rPr/>
        <w:t>，普通学校与</w:t>
      </w:r>
      <w:r>
        <w:rPr/>
        <w:t>Ugama</w:t>
      </w:r>
      <w:r>
        <w:rPr/>
        <w:t>宗教学校之间特殊需要评估、干预、转衔完全割裂，大量穆斯林儿童同时就读两套学校，造成服务断裂（</w:t>
      </w:r>
      <w:r>
        <w:rPr/>
        <w:t>Harun et al.,2023</w:t>
      </w:r>
      <w:r>
        <w:rPr/>
        <w:t>）。</w:t>
      </w:r>
    </w:p>
    <w:p>
      <w:pPr>
        <w:pStyle w:val="Normal"/>
        <w:rPr/>
      </w:pPr>
      <w:r>
        <w:rPr/>
        <w:t>政策文本与基层实践鸿沟：拥有</w:t>
      </w:r>
      <w:r>
        <w:rPr/>
        <w:t>SPN21</w:t>
      </w:r>
      <w:r>
        <w:rPr/>
        <w:t>、</w:t>
      </w:r>
      <w:r>
        <w:rPr/>
        <w:t>Priority Levels</w:t>
      </w:r>
      <w:r>
        <w:rPr/>
        <w:t>工具，但缺少配套强制制度、标准化流程、督导评估；</w:t>
      </w:r>
      <w:r>
        <w:rPr/>
        <w:t>IEP</w:t>
      </w:r>
      <w:r>
        <w:rPr/>
        <w:t>仅为建议。</w:t>
      </w:r>
    </w:p>
    <w:p>
      <w:pPr>
        <w:pStyle w:val="Normal"/>
        <w:rPr/>
      </w:pPr>
      <w:r>
        <w:rPr/>
        <w:t>缺少国家</w:t>
      </w:r>
      <w:r>
        <w:rPr/>
        <w:t>CBR</w:t>
      </w:r>
      <w:r>
        <w:rPr/>
        <w:t>社区康复系统；资源高度集中首都，地域不均衡；大量服务依赖</w:t>
      </w:r>
      <w:r>
        <w:rPr/>
        <w:t>NGO</w:t>
      </w:r>
      <w:r>
        <w:rPr/>
        <w:t>补位，可持续性存疑。</w:t>
      </w:r>
    </w:p>
    <w:p>
      <w:pPr>
        <w:pStyle w:val="3"/>
        <w:rPr/>
      </w:pPr>
      <w:r>
        <w:rPr/>
        <w:t xml:space="preserve">3.3 </w:t>
      </w:r>
      <w:r>
        <w:rPr/>
        <w:t>新加坡特有困境</w:t>
      </w:r>
    </w:p>
    <w:p>
      <w:pPr>
        <w:pStyle w:val="Normal"/>
        <w:rPr/>
      </w:pPr>
      <w:r>
        <w:rPr/>
        <w:t>制度高度完善，但资源优先面向本国公民</w:t>
      </w:r>
      <w:r>
        <w:rPr/>
        <w:t>/PR</w:t>
      </w:r>
      <w:r>
        <w:rPr/>
        <w:t>；国际学生难以完整享受公立</w:t>
      </w:r>
      <w:r>
        <w:rPr/>
        <w:t>EIPIC</w:t>
      </w:r>
      <w:r>
        <w:rPr/>
        <w:t>、</w:t>
      </w:r>
      <w:r>
        <w:rPr/>
        <w:t>SPED</w:t>
      </w:r>
      <w:r>
        <w:rPr/>
        <w:t>全套福利。</w:t>
      </w:r>
    </w:p>
    <w:p>
      <w:pPr>
        <w:pStyle w:val="Normal"/>
        <w:rPr/>
      </w:pPr>
      <w:r>
        <w:rPr/>
        <w:t>主流学校</w:t>
      </w:r>
      <w:r>
        <w:rPr/>
        <w:t>SEN</w:t>
      </w:r>
      <w:r>
        <w:rPr/>
        <w:t>需求持续增长，</w:t>
      </w:r>
      <w:r>
        <w:rPr/>
        <w:t>SEN</w:t>
        <w:noBreakHyphen/>
        <w:t>Officer</w:t>
      </w:r>
      <w:r>
        <w:rPr/>
        <w:t>人力持续承压；中重度学生在主流课堂的接纳与支持依旧存在现实局限。</w:t>
      </w:r>
    </w:p>
    <w:p>
      <w:pPr>
        <w:pStyle w:val="2"/>
        <w:rPr/>
      </w:pPr>
      <w:r>
        <w:rPr/>
        <w:t xml:space="preserve">4 </w:t>
      </w:r>
      <w:r>
        <w:rPr/>
        <w:t>面向东盟区域的启示</w:t>
      </w:r>
    </w:p>
    <w:p>
      <w:pPr>
        <w:pStyle w:val="Normal"/>
        <w:rPr/>
      </w:pPr>
      <w:r>
        <w:rPr/>
        <w:t>全部使用参考、启示视角，避免评判他国。</w:t>
      </w:r>
    </w:p>
    <w:p>
      <w:pPr>
        <w:pStyle w:val="Normal"/>
        <w:rPr/>
      </w:pPr>
      <w:r>
        <w:rPr>
          <w:b/>
          <w:bCs/>
        </w:rPr>
        <w:t>政策不等于实践：工具与制度流程需要配套</w:t>
      </w:r>
      <w:r>
        <w:rPr/>
        <w:t>。文莱已经开发优秀</w:t>
      </w:r>
      <w:r>
        <w:rPr/>
        <w:t>Priority Levels</w:t>
      </w:r>
      <w:r>
        <w:rPr/>
        <w:t>教育评估工具，可以进一步探索将评估指引适度延伸到</w:t>
      </w:r>
      <w:r>
        <w:rPr/>
        <w:t>Ugama</w:t>
      </w:r>
      <w:r>
        <w:rPr/>
        <w:t>宗教学校；建立简明可落地跨部门转衔操作指引，不必一步照搬新加坡高度中心化复杂系统。</w:t>
      </w:r>
    </w:p>
    <w:p>
      <w:pPr>
        <w:pStyle w:val="Normal"/>
        <w:rPr/>
      </w:pPr>
      <w:r>
        <w:rPr>
          <w:b/>
          <w:bCs/>
        </w:rPr>
        <w:t>重视社区康复</w:t>
      </w:r>
      <w:r>
        <w:rPr>
          <w:b/>
          <w:bCs/>
        </w:rPr>
        <w:t>CBR</w:t>
      </w:r>
      <w:r>
        <w:rPr>
          <w:b/>
          <w:bCs/>
        </w:rPr>
        <w:t>作为缓冲层</w:t>
      </w:r>
      <w:r>
        <w:rPr/>
        <w:t>。新加坡依靠</w:t>
      </w:r>
      <w:r>
        <w:rPr/>
        <w:t>EIPIC</w:t>
      </w:r>
      <w:r>
        <w:rPr/>
        <w:t>，马来西亚依靠</w:t>
      </w:r>
      <w:r>
        <w:rPr/>
        <w:t>PDK</w:t>
      </w:r>
      <w:r>
        <w:rPr/>
        <w:t>，用来填补医院排队等待的服务真空；文莱可以探索依托现有</w:t>
      </w:r>
      <w:r>
        <w:rPr/>
        <w:t>NGO</w:t>
      </w:r>
      <w:r>
        <w:rPr/>
        <w:t>、社区、清真寺，搭建国家层面</w:t>
      </w:r>
      <w:r>
        <w:rPr/>
        <w:t>CBR</w:t>
      </w:r>
      <w:r>
        <w:rPr/>
        <w:t>基础框架，而不是全部等待首都医院资源。</w:t>
      </w:r>
    </w:p>
    <w:p>
      <w:pPr>
        <w:pStyle w:val="Normal"/>
        <w:rPr/>
      </w:pPr>
      <w:r>
        <w:rPr>
          <w:b/>
          <w:bCs/>
        </w:rPr>
        <w:t>家庭支持不能只提供技能培训，必须纳入照护者心理福祉</w:t>
      </w:r>
      <w:r>
        <w:rPr/>
        <w:t>。新加坡试点家长同伴小组的经验可供参考；在</w:t>
      </w:r>
      <w:r>
        <w:rPr/>
        <w:t>MIB</w:t>
      </w:r>
      <w:r>
        <w:rPr/>
        <w:t>文化背景下，可以发挥宗教社区力量开展家长科普与情绪支持。</w:t>
      </w:r>
    </w:p>
    <w:p>
      <w:pPr>
        <w:pStyle w:val="Normal"/>
        <w:rPr/>
      </w:pPr>
      <w:r>
        <w:rPr>
          <w:b/>
          <w:bCs/>
        </w:rPr>
        <w:t>并行多套教育行政体系的国家，必须推动跨部门常态化对话</w:t>
      </w:r>
      <w:r>
        <w:rPr/>
        <w:t>。文莱教育部、宗教部</w:t>
      </w:r>
      <w:r>
        <w:rPr/>
        <w:t>MoRA</w:t>
      </w:r>
      <w:r>
        <w:rPr/>
        <w:t>需要开展定期协同研讨，解决儿童同时上普通学校和</w:t>
      </w:r>
      <w:r>
        <w:rPr/>
        <w:t>Ugama</w:t>
      </w:r>
      <w:r>
        <w:rPr/>
        <w:t>宗教学校的特殊需要服务割裂问题。</w:t>
      </w:r>
    </w:p>
    <w:p>
      <w:pPr>
        <w:pStyle w:val="Normal"/>
        <w:rPr/>
      </w:pPr>
      <w:r>
        <w:rPr>
          <w:b/>
          <w:bCs/>
        </w:rPr>
        <w:t>辅助技术投入重点不只采购设备，同步要做教师培训、个案适配评估，否则硬件会闲置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>转衔要延伸到成人就业端</w:t>
      </w:r>
      <w:r>
        <w:rPr/>
        <w:t>，不能只聚焦儿童阶段教育；提前在中学阶段引入职业评估、实习、岗位教练制度。</w:t>
      </w:r>
    </w:p>
    <w:p>
      <w:pPr>
        <w:pStyle w:val="2"/>
        <w:rPr/>
      </w:pPr>
      <w:r>
        <w:rPr/>
        <w:t xml:space="preserve">5 </w:t>
      </w:r>
      <w:r>
        <w:rPr/>
        <w:t>结论</w:t>
      </w:r>
    </w:p>
    <w:p>
      <w:pPr>
        <w:pStyle w:val="Normal"/>
        <w:rPr/>
      </w:pPr>
      <w:r>
        <w:rPr/>
        <w:t>新加坡依托城市国家行政集中优势，构建了从新生儿筛查、早期干预、学校支持、社区服务到就业过渡的闭环、多部门协同融合</w:t>
        <w:noBreakHyphen/>
        <w:t>康复服务链条；但仍然面临人力压力、国际学生服务限制等现实问题。文莱拥有优厚社会福利、</w:t>
      </w:r>
      <w:r>
        <w:rPr/>
        <w:t>MIB</w:t>
      </w:r>
      <w:r>
        <w:rPr/>
        <w:t>文化重视弱势群体，出台融合教育政策与</w:t>
      </w:r>
      <w:r>
        <w:rPr/>
        <w:t>Priority Levels</w:t>
      </w:r>
      <w:r>
        <w:rPr/>
        <w:t>评估工具；但缺少标准化跨部门转衔流程，没有国家社区康复</w:t>
      </w:r>
      <w:r>
        <w:rPr/>
        <w:t>CBR</w:t>
      </w:r>
      <w:r>
        <w:rPr/>
        <w:t>体系，普通学校</w:t>
        <w:noBreakHyphen/>
      </w:r>
      <w:r>
        <w:rPr/>
        <w:t>Ugama</w:t>
      </w:r>
      <w:r>
        <w:rPr/>
        <w:t>宗教学校两套行政系统造成特殊儿童服务割裂，资源地域分布不均。</w:t>
      </w:r>
    </w:p>
    <w:p>
      <w:pPr>
        <w:pStyle w:val="Normal"/>
        <w:rPr/>
      </w:pPr>
      <w:r>
        <w:rPr/>
        <w:t>对东盟国家而言，单纯借鉴政策文本或硬件投入远远不够；需要关注筛查</w:t>
        <w:noBreakHyphen/>
        <w:t>评估</w:t>
        <w:noBreakHyphen/>
        <w:t>干预</w:t>
        <w:noBreakHyphen/>
        <w:t>转衔完整流程落地，配套家庭心理支持、师资持续培训、辅助技术能力建设，并且尊重本土社会与宗教文化。未来文莱本土实证研究可以重点调研</w:t>
      </w:r>
      <w:r>
        <w:rPr/>
        <w:t>Ugama</w:t>
      </w:r>
      <w:r>
        <w:rPr/>
        <w:t>宗教学校中特殊需要儿童的真实体验，以及家庭视角下转衔服务现实障碍。</w:t>
      </w:r>
    </w:p>
    <w:p>
      <w:pPr>
        <w:pStyle w:val="2"/>
        <w:rPr/>
      </w:pPr>
      <w:r>
        <w:rPr/>
        <w:t>参考文献</w:t>
      </w:r>
    </w:p>
    <w:p>
      <w:pPr>
        <w:pStyle w:val="Normal"/>
        <w:rPr/>
      </w:pPr>
      <w:r>
        <w:rPr/>
        <w:t>Abang, D. (2023). Healthcare for persons with disabilities in Brunei Darussalam. BAKTI</w:t>
        <w:noBreakHyphen/>
        <w:t>MIND Conference Paper.</w:t>
      </w:r>
    </w:p>
    <w:p>
      <w:pPr>
        <w:pStyle w:val="Normal"/>
        <w:rPr/>
      </w:pPr>
      <w:r>
        <w:rPr/>
        <w:t xml:space="preserve">ASEAN Secretariat. (2023). </w:t>
      </w:r>
      <w:r>
        <w:rPr>
          <w:i/>
          <w:iCs/>
        </w:rPr>
        <w:t>ASEAN enabling masterplan 2025: Mainstreaming the rights of persons with disabilities</w:t>
      </w:r>
      <w:r>
        <w:rPr/>
        <w:t>. ASEAN Publication.</w:t>
      </w:r>
    </w:p>
    <w:p>
      <w:pPr>
        <w:pStyle w:val="Normal"/>
        <w:rPr/>
      </w:pPr>
      <w:r>
        <w:rPr/>
        <w:t>Borgen Project. (2026). Disability and inclusive development in Brunei Darussalam. Borgen Project Research Brief.</w:t>
      </w:r>
    </w:p>
    <w:p>
      <w:pPr>
        <w:pStyle w:val="Normal"/>
        <w:rPr/>
      </w:pPr>
      <w:r>
        <w:rPr/>
        <w:t xml:space="preserve">Chong, T., &amp; Victor, I. (2024). The history and plausible future of assistive technology and what it might mean for Singapore students with disabilities. </w:t>
      </w:r>
      <w:r>
        <w:rPr>
          <w:i/>
          <w:iCs/>
        </w:rPr>
        <w:t>Proceedings of ICDLSE 2024</w:t>
      </w:r>
      <w:r>
        <w:rPr/>
        <w:t>.</w:t>
      </w:r>
    </w:p>
    <w:p>
      <w:pPr>
        <w:pStyle w:val="Normal"/>
        <w:rPr/>
      </w:pPr>
      <w:r>
        <w:rPr/>
        <w:t>ECDA. (2025). Supporting all children: The power of inclusive practices. Early Childhood Development Agency Singapore.</w:t>
      </w:r>
    </w:p>
    <w:p>
      <w:pPr>
        <w:pStyle w:val="Normal"/>
        <w:rPr/>
      </w:pPr>
      <w:r>
        <w:rPr/>
        <w:t>E</w:t>
        <w:noBreakHyphen/>
        <w:t>RIC Brunei. (2022). Psychosocial experiences among caregivers of autistic children in Brunei Darussalam. University Brunei Darussalam Research Report.</w:t>
      </w:r>
    </w:p>
    <w:p>
      <w:pPr>
        <w:pStyle w:val="Normal"/>
        <w:rPr/>
      </w:pPr>
      <w:r>
        <w:rPr/>
        <w:t>Expat Focus. (2026). Brunei</w:t>
        <w:noBreakHyphen/>
        <w:t>disability support and inclusion overview. Expat Focus Country Report.</w:t>
      </w:r>
    </w:p>
    <w:p>
      <w:pPr>
        <w:pStyle w:val="Normal"/>
        <w:rPr/>
      </w:pPr>
      <w:r>
        <w:rPr/>
        <w:t>Goh, A., &amp; Malik, N. (2024). Stakeholders’ involvement in the transition to adulthood for youth with disabilities in Singapore. In Special Needs in Singapore. World Scientific.</w:t>
      </w:r>
    </w:p>
    <w:p>
      <w:pPr>
        <w:pStyle w:val="Normal"/>
        <w:rPr/>
      </w:pPr>
      <w:r>
        <w:rPr/>
        <w:t>Harun, N., Mat</w:t>
        <w:noBreakHyphen/>
        <w:t xml:space="preserve">Zin, H., &amp; Ong, L. (2023). Leading inclusive education initiatives: Comparative insights from Malaysia, Lao PDR and Brunei Darussalam. </w:t>
      </w:r>
      <w:r>
        <w:rPr>
          <w:i/>
          <w:iCs/>
        </w:rPr>
        <w:t>International Journal of Inclusive Education</w:t>
      </w:r>
      <w:r>
        <w:rPr/>
        <w:t>, 29(8), 987</w:t>
        <w:noBreakHyphen/>
        <w:t>1004.</w:t>
      </w:r>
    </w:p>
    <w:p>
      <w:pPr>
        <w:pStyle w:val="Normal"/>
        <w:rPr/>
      </w:pPr>
      <w:r>
        <w:rPr/>
        <w:t>Hjh Noraini, H. (2024). Exploring priority</w:t>
        <w:noBreakHyphen/>
        <w:t xml:space="preserve">level support instrument for students with special needs in Brunei government primary schools. </w:t>
      </w:r>
      <w:r>
        <w:rPr>
          <w:i/>
          <w:iCs/>
        </w:rPr>
        <w:t>Brunei Journal of Education</w:t>
      </w:r>
      <w:r>
        <w:rPr/>
        <w:t>, 11(1), 22</w:t>
        <w:noBreakHyphen/>
        <w:t>36.</w:t>
      </w:r>
    </w:p>
    <w:p>
      <w:pPr>
        <w:pStyle w:val="Normal"/>
        <w:rPr/>
      </w:pPr>
      <w:r>
        <w:rPr/>
        <w:t xml:space="preserve">Koay, T. L., &amp; Lim, L. J. C. (2025). State of the practice review of early intervention programmes in Brunei Darussalam. </w:t>
      </w:r>
      <w:r>
        <w:rPr>
          <w:i/>
          <w:iCs/>
        </w:rPr>
        <w:t>Journal of Southeast Asian Special Needs Education</w:t>
      </w:r>
      <w:r>
        <w:rPr/>
        <w:t>, 10(1), 1</w:t>
        <w:noBreakHyphen/>
        <w:t>18.</w:t>
      </w:r>
    </w:p>
    <w:p>
      <w:pPr>
        <w:pStyle w:val="Normal"/>
        <w:rPr/>
      </w:pPr>
      <w:r>
        <w:rPr/>
        <w:t>Learning Ladders Society. (2024). Developing local ABA expertise in Brunei: Five</w:t>
        <w:noBreakHyphen/>
        <w:t>year service review. Conference proceeding.</w:t>
      </w:r>
    </w:p>
    <w:p>
      <w:pPr>
        <w:pStyle w:val="Normal"/>
        <w:rPr/>
      </w:pPr>
      <w:r>
        <w:rPr/>
        <w:t>Manokara, V. (2024). Disability and employment: Confronting challenges in contemporary Singapore. In Special Needs in Singapore. World Scientific.</w:t>
      </w:r>
    </w:p>
    <w:p>
      <w:pPr>
        <w:pStyle w:val="Normal"/>
        <w:rPr/>
      </w:pPr>
      <w:r>
        <w:rPr/>
        <w:t>Ministry of Education Brunei Darussalam. (2009). SPN21 National Education System for the 21st Century. Policy Document.</w:t>
      </w:r>
    </w:p>
    <w:p>
      <w:pPr>
        <w:pStyle w:val="Normal"/>
        <w:rPr/>
      </w:pPr>
      <w:r>
        <w:rPr/>
        <w:t>Ministry of Education Singapore. (2024). Parliamentary reply: Graduation age for SPED schools. MOE Government of Singapore.</w:t>
      </w:r>
    </w:p>
    <w:p>
      <w:pPr>
        <w:pStyle w:val="Normal"/>
        <w:rPr/>
      </w:pPr>
      <w:r>
        <w:rPr/>
        <w:t>Ministry of Education Singapore. (2026</w:t>
        <w:noBreakHyphen/>
        <w:t>02</w:t>
        <w:noBreakHyphen/>
        <w:t>03). Stages when students in mainstream schools are assessed for special educational needs. Parliamentary Reply.</w:t>
      </w:r>
    </w:p>
    <w:p>
      <w:pPr>
        <w:pStyle w:val="Normal"/>
        <w:rPr/>
      </w:pPr>
      <w:r>
        <w:rPr/>
        <w:t>Ministry of Education Singapore. (2026</w:t>
        <w:noBreakHyphen/>
        <w:t>03</w:t>
        <w:noBreakHyphen/>
        <w:t>03). Committee of supply debate speech: Special education manpower and parent peer</w:t>
        <w:noBreakHyphen/>
        <w:t>support programme.</w:t>
      </w:r>
    </w:p>
    <w:p>
      <w:pPr>
        <w:pStyle w:val="Normal"/>
        <w:rPr/>
      </w:pPr>
      <w:r>
        <w:rPr/>
        <w:t>Ministry of Health Brunei Darussalam. (2026). RIPAS hospital marks milestone with robotic</w:t>
        <w:noBreakHyphen/>
        <w:t>assisted knee replacement surgery. Official news release.</w:t>
      </w:r>
    </w:p>
    <w:p>
      <w:pPr>
        <w:pStyle w:val="Normal"/>
        <w:rPr/>
      </w:pPr>
      <w:r>
        <w:rPr/>
        <w:t>Mohd, S., Jusoh, M., &amp; Rahman, A. (2024). The strain among caregivers of children with disabilities at community</w:t>
        <w:noBreakHyphen/>
        <w:t xml:space="preserve">based rehabilitation centres in Kudat, Sabah, Malaysia. </w:t>
      </w:r>
      <w:r>
        <w:rPr>
          <w:i/>
          <w:iCs/>
        </w:rPr>
        <w:t>Medical Journal of Malaysia</w:t>
      </w:r>
      <w:r>
        <w:rPr/>
        <w:t>, 79(Supp 1), 112</w:t>
        <w:noBreakHyphen/>
        <w:t>117.</w:t>
      </w:r>
    </w:p>
    <w:p>
      <w:pPr>
        <w:pStyle w:val="Normal"/>
        <w:rPr/>
      </w:pPr>
      <w:r>
        <w:rPr/>
        <w:t xml:space="preserve">Ng, S. H., &amp; Tan, L. S. (2025). Transition experiences of children with SEN from early intervention to mainstream primary schools in Singapore. </w:t>
      </w:r>
      <w:r>
        <w:rPr>
          <w:i/>
          <w:iCs/>
        </w:rPr>
        <w:t>Asia</w:t>
        <w:noBreakHyphen/>
        <w:t>Pacific Journal of Inclusive Education</w:t>
      </w:r>
      <w:r>
        <w:rPr/>
        <w:t>, 17(2), 77</w:t>
        <w:noBreakHyphen/>
        <w:t>92.</w:t>
      </w:r>
    </w:p>
    <w:p>
      <w:pPr>
        <w:pStyle w:val="Normal"/>
        <w:rPr/>
      </w:pPr>
      <w:r>
        <w:rPr/>
        <w:t xml:space="preserve">Othman, N. (2023). Inclusive education and community rehabilitation in Brunei Darussalam: Current challenges. </w:t>
      </w:r>
      <w:r>
        <w:rPr>
          <w:i/>
          <w:iCs/>
        </w:rPr>
        <w:t>Journal of Southeast Asian Special Needs Education</w:t>
      </w:r>
      <w:r>
        <w:rPr/>
        <w:t>, 8(1), 45</w:t>
        <w:noBreakHyphen/>
        <w:t>58.</w:t>
      </w:r>
    </w:p>
    <w:p>
      <w:pPr>
        <w:pStyle w:val="Normal"/>
        <w:rPr/>
      </w:pPr>
      <w:r>
        <w:rPr/>
        <w:t xml:space="preserve">PMC. (2022). Current status of the early childhood developmental intervention ecosystem in Singapore. </w:t>
      </w:r>
      <w:r>
        <w:rPr>
          <w:i/>
          <w:iCs/>
        </w:rPr>
        <w:t>PMC Public Library of Science</w:t>
      </w:r>
      <w:r>
        <w:rPr/>
        <w:t>.</w:t>
      </w:r>
    </w:p>
    <w:p>
      <w:pPr>
        <w:pStyle w:val="Normal"/>
        <w:rPr/>
      </w:pPr>
      <w:r>
        <w:rPr/>
        <w:t>Siti, A., Mohd, R., &amp; Fatimah, S. (2024). Cultural consideration in community</w:t>
        <w:noBreakHyphen/>
        <w:t>based rehabilitation among Malay</w:t>
        <w:noBreakHyphen/>
        <w:t xml:space="preserve">Muslim families. </w:t>
      </w:r>
      <w:r>
        <w:rPr>
          <w:i/>
          <w:iCs/>
        </w:rPr>
        <w:t>Malaysian Journal of Special Education</w:t>
      </w:r>
      <w:r>
        <w:rPr/>
        <w:t>,16(2),11</w:t>
        <w:noBreakHyphen/>
        <w:t>24.</w:t>
      </w:r>
    </w:p>
    <w:p>
      <w:pPr>
        <w:pStyle w:val="Normal"/>
        <w:rPr/>
      </w:pPr>
      <w:r>
        <w:rPr/>
        <w:t>Thye Hua Kwan Moral Charities. (2024). Early</w:t>
        <w:noBreakHyphen/>
        <w:t>intervention waiting</w:t>
        <w:noBreakHyphen/>
        <w:t>list parent guidance programme project brief.</w:t>
      </w:r>
    </w:p>
    <w:p>
      <w:pPr>
        <w:pStyle w:val="Normal"/>
        <w:rPr/>
      </w:pPr>
      <w:r>
        <w:rPr/>
        <w:t>United Nations. (2006). Convention on the rights of persons with disabilities. New York: United Nations.</w:t>
      </w:r>
    </w:p>
    <w:p>
      <w:pPr>
        <w:pStyle w:val="Normal"/>
        <w:rPr/>
      </w:pPr>
      <w:r>
        <w:rPr/>
        <w:t xml:space="preserve">World Health Organization [WHO]. (2022). </w:t>
      </w:r>
      <w:r>
        <w:rPr>
          <w:i/>
          <w:iCs/>
        </w:rPr>
        <w:t>Community</w:t>
        <w:noBreakHyphen/>
        <w:t>based rehabilitation: Guidelines for implementation</w:t>
      </w:r>
      <w:r>
        <w:rPr/>
        <w:t>. Geneva: WHO Press.</w:t>
      </w:r>
    </w:p>
    <w:p>
      <w:pPr>
        <w:pStyle w:val="Normal"/>
        <w:rPr/>
      </w:pPr>
      <w:r>
        <w:rPr/>
        <w:t>Yusoff, M., Ali, H., &amp; Ahmad, Z. (2022). Engaging religious</w:t>
        <w:noBreakHyphen/>
        <w:t xml:space="preserve">based organisations in CBR practice in Malaysia. </w:t>
      </w:r>
      <w:r>
        <w:rPr>
          <w:i/>
          <w:iCs/>
        </w:rPr>
        <w:t>ASEAN Rehabilitation Review</w:t>
      </w:r>
      <w:r>
        <w:rPr/>
        <w:t>, 4(1), 32</w:t>
        <w:noBreakHyphen/>
        <w:t>41.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Mono CJK SC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 Mono CJK SC" w:cs="Noto Sans Mono CJK SC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ans Mono CJK SC" w:cs="Noto Sans Mono CJK SC"/>
      <w:color w:val="auto"/>
      <w:kern w:val="0"/>
      <w:sz w:val="20"/>
      <w:szCs w:val="20"/>
      <w:lang w:val="en-US" w:eastAsia="zh-CN" w:bidi="hi-IN"/>
    </w:rPr>
  </w:style>
  <w:style w:type="paragraph" w:styleId="1">
    <w:name w:val="Heading 1"/>
    <w:basedOn w:val="Style9"/>
    <w:qFormat/>
    <w:pPr>
      <w:spacing w:lineRule="auto" w:line="288" w:before="380" w:after="140"/>
      <w:ind w:left="0" w:hanging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2">
    <w:name w:val="Heading 2"/>
    <w:basedOn w:val="Style9"/>
    <w:qFormat/>
    <w:pPr>
      <w:spacing w:lineRule="auto" w:line="288" w:before="320" w:after="120"/>
      <w:ind w:left="0" w:hanging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basedOn w:val="Style9"/>
    <w:qFormat/>
    <w:pPr>
      <w:spacing w:lineRule="auto" w:line="288" w:before="300" w:after="120"/>
      <w:ind w:left="0" w:hanging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4">
    <w:name w:val="Heading 4"/>
    <w:basedOn w:val="Style9"/>
    <w:qFormat/>
    <w:pPr>
      <w:spacing w:lineRule="auto" w:line="288" w:before="260" w:after="120"/>
      <w:ind w:left="0" w:hanging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5">
    <w:name w:val="Heading 5"/>
    <w:basedOn w:val="Style9"/>
    <w:qFormat/>
    <w:pPr>
      <w:spacing w:lineRule="auto" w:line="288" w:before="240" w:after="120"/>
      <w:ind w:left="0" w:hanging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6">
    <w:name w:val="Heading 6"/>
    <w:basedOn w:val="Style9"/>
    <w:qFormat/>
    <w:pPr>
      <w:spacing w:lineRule="auto" w:line="288" w:before="240" w:after="120"/>
      <w:ind w:left="0" w:hanging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styleId="Internet">
    <w:name w:val="Internet 链接"/>
    <w:uiPriority w:val="99"/>
    <w:unhideWhenUsed/>
    <w:rPr>
      <w:color w:val="0563C1"/>
      <w:u w:val="single"/>
    </w:rPr>
  </w:style>
  <w:style w:type="character" w:styleId="Style8">
    <w:name w:val="脚注锚点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paragraph" w:styleId="Style9">
    <w:name w:val="标题样式"/>
    <w:basedOn w:val="Normal"/>
    <w:next w:val="Style10"/>
    <w:qFormat/>
    <w:pPr>
      <w:keepNext w:val="true"/>
      <w:spacing w:before="240" w:after="120"/>
    </w:pPr>
    <w:rPr>
      <w:rFonts w:ascii="Noto Sans Mono CJK SC" w:hAnsi="Noto Sans Mono CJK SC" w:eastAsia="Noto Sans Mono CJK SC" w:cs="Noto Sans Mono CJK SC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/>
  </w:style>
  <w:style w:type="paragraph" w:styleId="Style12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索引"/>
    <w:basedOn w:val="Normal"/>
    <w:qFormat/>
    <w:pPr>
      <w:suppressLineNumbers/>
    </w:pPr>
    <w:rPr>
      <w:lang w:val="zxx" w:eastAsia="zxx" w:bidi="zxx"/>
    </w:rPr>
  </w:style>
  <w:style w:type="paragraph" w:styleId="Style14">
    <w:name w:val="Title"/>
    <w:basedOn w:val="Style9"/>
    <w:qFormat/>
    <w:pPr>
      <w:spacing w:lineRule="auto" w:line="288" w:before="480" w:after="480"/>
      <w:ind w:left="0" w:hanging="0"/>
    </w:pPr>
    <w:rPr>
      <w:rFonts w:ascii="Arial" w:hAnsi="Arial" w:eastAsia="等线" w:cs="Arial"/>
      <w:b/>
      <w:bCs/>
      <w:sz w:val="52"/>
      <w:szCs w:val="52"/>
    </w:rPr>
  </w:style>
  <w:style w:type="paragraph" w:styleId="Strong">
    <w:name w:val="Stro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ans Mono CJK SC" w:cs="Noto Sans Mono CJK SC"/>
      <w:b/>
      <w:bCs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ans Mono CJK SC" w:cs="Noto Sans Mono CJK SC"/>
      <w:color w:val="auto"/>
      <w:kern w:val="0"/>
      <w:sz w:val="20"/>
      <w:szCs w:val="20"/>
      <w:lang w:val="en-US" w:eastAsia="zh-CN" w:bidi="hi-IN"/>
    </w:rPr>
  </w:style>
  <w:style w:type="paragraph" w:styleId="Style15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LibreOfficeDev/7.3.1.3.0$Android_AARCH64 LibreOffice_project/</Application>
  <AppVersion>15.0000</AppVersion>
  <Pages>8</Pages>
  <Words>6408</Words>
  <Characters>11154</Characters>
  <CharactersWithSpaces>11791</CharactersWithSpaces>
  <Paragraphs>152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2026-09-14T11:36:57Z</dcterms:created>
  <dc:creator>Un-named</dc:creator>
  <dc:description/>
  <dc:language>zh-CN</dc:language>
  <cp:lastModifiedBy/>
  <dcterms:modified xsi:type="dcterms:W3CDTF">2026-09-14T19:45:36Z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