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
  <Relationship Id="rId3" Type="http://schemas.openxmlformats.org/package/2006/relationships/metadata/core-properties" Target="docProps/core.xml"></Relationship>
  <Relationship Id="rId4" Type="http://schemas.openxmlformats.org/officeDocument/2006/relationships/extended-properties" Target="docProps/app.xml"></Relationship>
  <Relationship Id="rId1" Type="http://schemas.openxmlformats.org/officeDocument/2006/relationships/officeDocument" Target="word/document.xml"></Relationship>
  <Relationship Id="rId2" Type="http://schemas.openxmlformats.org/package/2006/relationships/metadata/thumbnail" Target="docProps/thumbnail.jpeg"></Relationship>
  <Relationship Id="rId5" Type="http://schemas.openxmlformats.org/officeDocument/2006/relationships/custom-properties" Target="docProps/custom.xml"></Relationship>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eastAsia="思源黑体" w:ascii="Times New Roman" w:hAnsi="Times New Roman" w:cs="Times New Roman"/>
          <w:b/>
          <w:sz w:val="32"/>
          <w:szCs w:val="32"/>
        </w:rPr>
        <w:t>Sex Differences in Early Identification, Assessment, and Intervention for Autism Spectrum Disorder in Children: A Narrative Review</w:t>
      </w:r>
    </w:p>
    <w:p>
      <w:pPr>
        <w:pStyle w:val="Heading1"/>
      </w:pPr>
      <w:r>
        <w:rPr>
          <w:rFonts w:eastAsia="思源黑体" w:ascii="Times New Roman" w:hAnsi="Times New Roman" w:cs="Times New Roman"/>
        </w:rPr>
        <w:t>Abstract</w:t>
      </w:r>
    </w:p>
    <w:p>
      <w:pPr>
        <w:spacing w:after="80" w:line="300" w:lineRule="auto"/>
        <w:ind w:firstLine="440"/>
        <w:jc w:val="both"/>
      </w:pPr>
      <w:r>
        <w:rPr>
          <w:rFonts w:eastAsia="思源黑体" w:ascii="Times New Roman" w:hAnsi="Times New Roman" w:cs="Times New Roman"/>
          <w:i/>
          <w:sz w:val="22"/>
          <w:szCs w:val="22"/>
        </w:rPr>
        <w:t>Objective.</w:t>
      </w:r>
      <w:r>
        <w:rPr>
          <w:rFonts w:eastAsia="思源黑体" w:ascii="Times New Roman" w:hAnsi="Times New Roman" w:cs="Times New Roman"/>
          <w:sz w:val="22"/>
          <w:szCs w:val="22"/>
        </w:rPr>
        <w:t xml:space="preserve"> To synthesise recent evidence on sex differences across the identification, assessment, and intervention stages of the autism spectrum disorder (ASD) service pathway, to distinguish genuine phenotypic differences from measurement and procedural bias, and to derive operational recommendations.</w:t>
      </w:r>
    </w:p>
    <w:p>
      <w:pPr>
        <w:spacing w:after="80" w:line="300" w:lineRule="auto"/>
        <w:ind w:firstLine="440"/>
        <w:jc w:val="both"/>
      </w:pPr>
      <w:r>
        <w:rPr>
          <w:rFonts w:eastAsia="思源黑体" w:ascii="Times New Roman" w:hAnsi="Times New Roman" w:cs="Times New Roman"/>
          <w:i/>
          <w:sz w:val="22"/>
          <w:szCs w:val="22"/>
        </w:rPr>
        <w:t>Methods.</w:t>
      </w:r>
      <w:r>
        <w:rPr>
          <w:rFonts w:eastAsia="思源黑体" w:ascii="Times New Roman" w:hAnsi="Times New Roman" w:cs="Times New Roman"/>
          <w:sz w:val="22"/>
          <w:szCs w:val="22"/>
        </w:rPr>
        <w:t xml:space="preserve"> PubMed, Web of Science, and CNKI were searched for the period January 2021 to August 2026. Empirical studies, large electronic health record analyses, meta-analyses, and authoritative guidelines were included.</w:t>
      </w:r>
    </w:p>
    <w:p>
      <w:pPr>
        <w:spacing w:after="80" w:line="300" w:lineRule="auto"/>
        <w:ind w:firstLine="440"/>
        <w:jc w:val="both"/>
      </w:pPr>
      <w:r>
        <w:rPr>
          <w:rFonts w:eastAsia="思源黑体" w:ascii="Times New Roman" w:hAnsi="Times New Roman" w:cs="Times New Roman"/>
          <w:i/>
          <w:sz w:val="22"/>
          <w:szCs w:val="22"/>
        </w:rPr>
        <w:t>Results.</w:t>
      </w:r>
      <w:r>
        <w:rPr>
          <w:rFonts w:eastAsia="思源黑体" w:ascii="Times New Roman" w:hAnsi="Times New Roman" w:cs="Times New Roman"/>
          <w:sz w:val="22"/>
          <w:szCs w:val="22"/>
        </w:rPr>
        <w:t xml:space="preserve"> Differences are largest and best documented at the identification stage. Age at first parental concern does not differ by sex; the divergence appears at referral and diagnosis. Girls are more likely to be diagnosed before age 3 or after age 11, whereas boys cluster between 3 and 11 years, and the association between sex and age at diagnosis is attenuated and no longer significant once co-occurring anxiety and mood disorders are controlled. Measurement bias is the most consistently replicated finding: in a primary care network of 25,999 children the M-CHAT/F showed a sensitivity of only 38.8%, with a positive predictive value of 7.7% in children assigned female at birth versus 19.9% in those assigned male, and item-level analysis of the Autism Diagnostic Observation Schedule indicates that girls are rated as less impaired in eye contact, response to joint attention, and quality of social overtures at equivalent underlying ability. A large Chinese follow-up study found lower severity and poorer cross-time consistency of restricted and repetitive behaviors in girls. Sex-differentiated camouflaging is already present in childhood and is associated with internalising symptoms and exhaustion by adolescence, although its measurement remains unstable in under-15 samples. Evidence is weakest at the intervention stage: established interventions appear effective in both sexes, but female samples in randomised trials are too small to test moderation, and outcome sets rarely include camouflaging cost or exhaustion.</w:t>
      </w:r>
    </w:p>
    <w:p>
      <w:pPr>
        <w:spacing w:after="80" w:line="300" w:lineRule="auto"/>
        <w:ind w:firstLine="440"/>
        <w:jc w:val="both"/>
      </w:pPr>
      <w:r>
        <w:rPr>
          <w:rFonts w:eastAsia="思源黑体" w:ascii="Times New Roman" w:hAnsi="Times New Roman" w:cs="Times New Roman"/>
          <w:i/>
          <w:sz w:val="22"/>
          <w:szCs w:val="22"/>
        </w:rPr>
        <w:t>Conclusions.</w:t>
      </w:r>
      <w:r>
        <w:rPr>
          <w:rFonts w:eastAsia="思源黑体" w:ascii="Times New Roman" w:hAnsi="Times New Roman" w:cs="Times New Roman"/>
          <w:sz w:val="22"/>
          <w:szCs w:val="22"/>
        </w:rPr>
        <w:t xml:space="preserve"> Sex differences in ASD are concentrated in identification and assessment and are driven principally by measurement bias, diagnostic overshadowing, and delayed phenotypic visibility rather than by a large divergence in early core presentation. Investment should shift from the search for a female-specific phenotype toward re-screening of screen-negative children, comorbidity-triggered retrospective assessment, extension of the assessment window into school age and adolescence, and decoupling intervention access from diagnostic confirmation.</w:t>
      </w:r>
    </w:p>
    <w:p>
      <w:pPr>
        <w:spacing w:after="80" w:line="300" w:lineRule="auto"/>
        <w:jc w:val="both"/>
      </w:pPr>
      <w:r>
        <w:rPr>
          <w:rFonts w:eastAsia="思源黑体" w:ascii="Times New Roman" w:hAnsi="Times New Roman" w:cs="Times New Roman"/>
          <w:i/>
          <w:sz w:val="22"/>
          <w:szCs w:val="22"/>
        </w:rPr>
        <w:t>Keywords:</w:t>
      </w:r>
      <w:r>
        <w:rPr>
          <w:rFonts w:eastAsia="思源黑体" w:ascii="Times New Roman" w:hAnsi="Times New Roman" w:cs="Times New Roman"/>
          <w:sz w:val="22"/>
          <w:szCs w:val="22"/>
        </w:rPr>
        <w:t xml:space="preserve"> autism spectrum disorder; sex differences; early identification; diagnostic overshadowing; camouflaging; restricted and repetitive behaviors; early intervention</w:t>
      </w:r>
    </w:p>
    <w:p>
      <w:pPr>
        <w:pStyle w:val="Heading1"/>
      </w:pPr>
      <w:r>
        <w:rPr>
          <w:rFonts w:eastAsia="思源黑体" w:ascii="Times New Roman" w:hAnsi="Times New Roman" w:cs="Times New Roman"/>
        </w:rPr>
        <w:t>1. Introduction</w:t>
      </w:r>
    </w:p>
    <w:p>
      <w:pPr>
        <w:spacing w:after="80" w:line="300" w:lineRule="auto"/>
        <w:ind w:firstLine="440"/>
        <w:jc w:val="both"/>
      </w:pPr>
      <w:r>
        <w:rPr>
          <w:rFonts w:eastAsia="思源黑体" w:ascii="Times New Roman" w:hAnsi="Times New Roman" w:cs="Times New Roman"/>
          <w:sz w:val="22"/>
          <w:szCs w:val="22"/>
        </w:rPr>
        <w:t>Autism spectrum disorder (ASD) is a neurodevelopmental condition defined by difficulties in social communication together with restricted and repetitive patterns of behavior, interest, or activity, with onset in early development. Epidemiologically, ASD has long shown a male predominance, with clinical samples yielding a male-to-female ratio of approximately 4:1 (Fyfe et al., 2026).</w:t>
      </w:r>
    </w:p>
    <w:p>
      <w:pPr>
        <w:spacing w:after="80" w:line="300" w:lineRule="auto"/>
        <w:ind w:firstLine="440"/>
        <w:jc w:val="both"/>
      </w:pPr>
      <w:r>
        <w:rPr>
          <w:rFonts w:eastAsia="思源黑体" w:ascii="Times New Roman" w:hAnsi="Times New Roman" w:cs="Times New Roman"/>
          <w:sz w:val="22"/>
          <w:szCs w:val="22"/>
        </w:rPr>
        <w:t>Whether this ratio is a biological fact or an output of the diagnostic system has become a central question. Fyfe et al. (2026), following a prospectively ascertained Swedish birth cohort of 2,756,779 live-born children to 2022, reported that the cumulative male-to-female ratio had fallen to 1.2 by age 20, with projections suggesting parity by 2024. Active case finding in China yields a similarly attenuated figure: a screening study of 89,475 children aged 0–6 years found a prevalence of 1.8% (2.6% in boys, 0.9% in girls), a ratio of 2.9:1 (Zhao et al., 2023), well below the 4:1 conventionally cited from clinical samples. Two health systems with very different service structures thus converge on the same conclusion: a substantial share of the traditional gap originates in who gets identified, and when.</w:t>
      </w:r>
    </w:p>
    <w:p>
      <w:pPr>
        <w:spacing w:after="80" w:line="300" w:lineRule="auto"/>
        <w:ind w:firstLine="440"/>
        <w:jc w:val="both"/>
      </w:pPr>
      <w:r>
        <w:rPr>
          <w:rFonts w:eastAsia="思源黑体" w:ascii="Times New Roman" w:hAnsi="Times New Roman" w:cs="Times New Roman"/>
          <w:sz w:val="22"/>
          <w:szCs w:val="22"/>
        </w:rPr>
        <w:t>This matters clinically because early childhood is the period of greatest plasticity. China's service specification for autism screening and intervention in children aged 0–6 years mandates early screening and early diagnosis, with periodic re-assessment for children who cannot yet be confirmed (National Health Commission, 2022). If routine procedures are systematically insensitive to one sex, large numbers of children are missed within the very window that policy was designed to protect.</w:t>
      </w:r>
    </w:p>
    <w:p>
      <w:pPr>
        <w:spacing w:after="80" w:line="300" w:lineRule="auto"/>
        <w:ind w:firstLine="440"/>
        <w:jc w:val="both"/>
      </w:pPr>
      <w:r>
        <w:rPr>
          <w:rFonts w:eastAsia="思源黑体" w:ascii="Times New Roman" w:hAnsi="Times New Roman" w:cs="Times New Roman"/>
          <w:sz w:val="22"/>
          <w:szCs w:val="22"/>
        </w:rPr>
        <w:t>Existing reviews have largely described a putative female phenotype or the diagnostic difficulties of adult women; fewer have localised the sources of difference step by step along the service pathway, and fewer still have separated genuine phenotypic variation from measurement and procedural bias. This review organises evidence by the identification, assessment, and intervention stages and derives recommendations that can be incorporated into routine clinical work.</w:t>
      </w:r>
    </w:p>
    <w:p>
      <w:pPr>
        <w:pStyle w:val="Heading2"/>
      </w:pPr>
      <w:r>
        <w:rPr>
          <w:rFonts w:eastAsia="思源黑体" w:ascii="Times New Roman" w:hAnsi="Times New Roman" w:cs="Times New Roman"/>
        </w:rPr>
        <w:t>1.1 Operational definitions of key constructs</w:t>
      </w:r>
    </w:p>
    <w:p>
      <w:pPr>
        <w:spacing w:after="80" w:line="300" w:lineRule="auto"/>
        <w:ind w:firstLine="440"/>
        <w:jc w:val="both"/>
      </w:pPr>
      <w:r>
        <w:rPr>
          <w:rFonts w:eastAsia="思源黑体" w:ascii="Times New Roman" w:hAnsi="Times New Roman" w:cs="Times New Roman"/>
          <w:i/>
          <w:sz w:val="22"/>
          <w:szCs w:val="22"/>
        </w:rPr>
        <w:t>Sex and gender.</w:t>
      </w:r>
      <w:r>
        <w:rPr>
          <w:rFonts w:eastAsia="思源黑体" w:ascii="Times New Roman" w:hAnsi="Times New Roman" w:cs="Times New Roman"/>
          <w:sz w:val="22"/>
          <w:szCs w:val="22"/>
        </w:rPr>
        <w:t xml:space="preserve"> Most primary studies operationalise sex as sex assigned at birth, and the two constructs are frequently conflated in the ASD literature. This review follows the operationalisation used in the source studies and uses "sex" throughout, marking those discussions in which social norms and role expectations are implicated as gendered.</w:t>
      </w:r>
    </w:p>
    <w:p>
      <w:pPr>
        <w:spacing w:after="80" w:line="300" w:lineRule="auto"/>
        <w:ind w:firstLine="440"/>
        <w:jc w:val="both"/>
      </w:pPr>
      <w:r>
        <w:rPr>
          <w:rFonts w:eastAsia="思源黑体" w:ascii="Times New Roman" w:hAnsi="Times New Roman" w:cs="Times New Roman"/>
          <w:i/>
          <w:sz w:val="22"/>
          <w:szCs w:val="22"/>
        </w:rPr>
        <w:t>Diagnostic overshadowing.</w:t>
      </w:r>
      <w:r>
        <w:rPr>
          <w:rFonts w:eastAsia="思源黑体" w:ascii="Times New Roman" w:hAnsi="Times New Roman" w:cs="Times New Roman"/>
          <w:sz w:val="22"/>
          <w:szCs w:val="22"/>
        </w:rPr>
        <w:t xml:space="preserve"> The process by which difficulties that are already evident are attributed to another established diagnosis, such as an anxiety or mood disorder, so that assessment for ASD is not pursued further. It is treated here as distinct from sex bias in screening instruments: the former operates in clinical reasoning, the latter in the tool itself.</w:t>
      </w:r>
    </w:p>
    <w:p>
      <w:pPr>
        <w:spacing w:after="80" w:line="300" w:lineRule="auto"/>
        <w:ind w:firstLine="440"/>
        <w:jc w:val="both"/>
      </w:pPr>
      <w:r>
        <w:rPr>
          <w:rFonts w:eastAsia="思源黑体" w:ascii="Times New Roman" w:hAnsi="Times New Roman" w:cs="Times New Roman"/>
          <w:i/>
          <w:sz w:val="22"/>
          <w:szCs w:val="22"/>
        </w:rPr>
        <w:t>Camouflaging.</w:t>
      </w:r>
      <w:r>
        <w:rPr>
          <w:rFonts w:eastAsia="思源黑体" w:ascii="Times New Roman" w:hAnsi="Times New Roman" w:cs="Times New Roman"/>
          <w:sz w:val="22"/>
          <w:szCs w:val="22"/>
        </w:rPr>
        <w:t xml:space="preserve"> Strategies of masking, compensating, and assimilating through which an individual actively reduces the visibility of autistic characteristics (Hull et al., 2019). Camouflaging is not treated here as a diagnostic criterion but as a mechanism accounting for later diagnosis and mental health risk.</w:t>
      </w:r>
    </w:p>
    <w:p>
      <w:pPr>
        <w:spacing w:after="80" w:line="300" w:lineRule="auto"/>
        <w:ind w:firstLine="440"/>
        <w:jc w:val="both"/>
      </w:pPr>
      <w:r>
        <w:rPr>
          <w:rFonts w:eastAsia="思源黑体" w:ascii="Times New Roman" w:hAnsi="Times New Roman" w:cs="Times New Roman"/>
          <w:i/>
          <w:sz w:val="22"/>
          <w:szCs w:val="22"/>
        </w:rPr>
        <w:t>Restricted and repetitive behaviors (RRB).</w:t>
      </w:r>
      <w:r>
        <w:rPr>
          <w:rFonts w:eastAsia="思源黑体" w:ascii="Times New Roman" w:hAnsi="Times New Roman" w:cs="Times New Roman"/>
          <w:sz w:val="22"/>
          <w:szCs w:val="22"/>
        </w:rPr>
        <w:t xml:space="preserve"> Repetitive motor actions, rituals and insistence on sameness, narrow and intense interests, and sensory-motor anomalies. This is the dimension through which sex differences in symptom stability are examined below.</w:t>
      </w:r>
    </w:p>
    <w:p>
      <w:pPr>
        <w:pStyle w:val="Heading1"/>
      </w:pPr>
      <w:r>
        <w:rPr>
          <w:rFonts w:eastAsia="思源黑体" w:ascii="Times New Roman" w:hAnsi="Times New Roman" w:cs="Times New Roman"/>
        </w:rPr>
        <w:t>2. Literature search and scope</w:t>
      </w:r>
    </w:p>
    <w:p>
      <w:pPr>
        <w:spacing w:after="80" w:line="300" w:lineRule="auto"/>
        <w:ind w:firstLine="440"/>
        <w:jc w:val="both"/>
      </w:pPr>
      <w:r>
        <w:rPr>
          <w:rFonts w:eastAsia="思源黑体" w:ascii="Times New Roman" w:hAnsi="Times New Roman" w:cs="Times New Roman"/>
          <w:sz w:val="22"/>
          <w:szCs w:val="22"/>
        </w:rPr>
        <w:t>PubMed, Web of Science, and CNKI were searched for the period January 2021 to August 2026. Chinese search terms included autism, sex differences, female phenotype, camouflaging, restricted and repetitive behaviors, and early identification; English terms were autism spectrum disorder, sex differences, female phenotype, camouflaging, diagnostic delay, measurement bias, and early identification. Inclusion criteria were empirical studies (cohort, cross-sectional, and randomised controlled designs), large electronic health record analyses, meta-analyses, and authoritative guidelines. Single case reports and uncontrolled descriptive articles were excluded. Two sources outside the search window were retained because they are the primary origin of findings that the review depends upon: the source paper for the camouflaging measure (Hull et al., 2019) and the large screening accuracy study (Guthrie et al., 2019).</w:t>
      </w:r>
    </w:p>
    <w:p>
      <w:pPr>
        <w:spacing w:after="80" w:line="300" w:lineRule="auto"/>
        <w:ind w:firstLine="440"/>
        <w:jc w:val="both"/>
      </w:pPr>
      <w:r>
        <w:rPr>
          <w:rFonts w:eastAsia="思源黑体" w:ascii="Times New Roman" w:hAnsi="Times New Roman" w:cs="Times New Roman"/>
          <w:sz w:val="22"/>
          <w:szCs w:val="22"/>
        </w:rPr>
        <w:t>Three limits to scope should be stated at the outset. First, sex is operationalised as sex assigned at birth in most primary studies, and gender-level evidence remains limited. Second, the conclusions apply principally to childhood and adolescence; adult evidence is used only as background. Third, this is a narrative review without formal quality appraisal or meta-analysis, so the strength of each key claim is qualified in the text rather than expressed as a rating.</w:t>
      </w:r>
    </w:p>
    <w:p>
      <w:pPr>
        <w:pStyle w:val="Heading1"/>
      </w:pPr>
      <w:r>
        <w:rPr>
          <w:rFonts w:eastAsia="思源黑体" w:ascii="Times New Roman" w:hAnsi="Times New Roman" w:cs="Times New Roman"/>
        </w:rPr>
        <w:t>3. Epidemiological baseline: where does 4:1 come from?</w:t>
      </w:r>
    </w:p>
    <w:p>
      <w:pPr>
        <w:spacing w:after="80" w:line="300" w:lineRule="auto"/>
        <w:ind w:firstLine="440"/>
        <w:jc w:val="both"/>
      </w:pPr>
      <w:r>
        <w:rPr>
          <w:rFonts w:eastAsia="思源黑体" w:ascii="Times New Roman" w:hAnsi="Times New Roman" w:cs="Times New Roman"/>
          <w:sz w:val="22"/>
          <w:szCs w:val="22"/>
        </w:rPr>
        <w:t>Fyfe et al. (2026) followed 2,756,779 individuals born in Sweden between 1985 and 2020 to the end of 2022, of whom 78,522 (2.8%) received an ASD diagnosis. Incidence rose with age, peaking at 645.5 per 100,000 person-years in males at ages 10–14 and 602.6 in females at ages 15–19, and declined thereafter. By the final year of follow-up the cumulative male-to-female ratio had fallen to 1.2 by age 20. The ratio therefore narrows as age at diagnosis increases, which points to incomplete early identification rather than to a genuine gap in prevalence as the source of much of the traditional difference.</w:t>
      </w:r>
    </w:p>
    <w:p>
      <w:pPr>
        <w:spacing w:after="80" w:line="300" w:lineRule="auto"/>
        <w:ind w:firstLine="440"/>
        <w:jc w:val="both"/>
      </w:pPr>
      <w:r>
        <w:rPr>
          <w:rFonts w:eastAsia="思源黑体" w:ascii="Times New Roman" w:hAnsi="Times New Roman" w:cs="Times New Roman"/>
          <w:sz w:val="22"/>
          <w:szCs w:val="22"/>
        </w:rPr>
        <w:t>The stronger counter-evidence comes from infant sibling cohorts that bypass referral bias. Burrows et al. (2022) assessed 377 infant siblings of children with ASD and 168 children at lower familial likelihood across 1,254 observations between 6 and 60 months. After establishing measurement invariance across age and sex and applying data-driven latent class growth mixture modelling, they found sex ratios close to 1:1 within the high-concern classes for both social communication and RRB. The divergence, in other words, begins not in having autism but in being seen. This premise underpins everything that follows: to read it as "girls are less affected and therefore need less" is to convert a measurement error into a clinical decision.</w:t>
      </w:r>
    </w:p>
    <w:p>
      <w:pPr>
        <w:spacing w:after="80" w:line="300" w:lineRule="auto"/>
        <w:ind w:firstLine="440"/>
        <w:jc w:val="both"/>
      </w:pPr>
      <w:r>
        <w:rPr>
          <w:rFonts w:eastAsia="思源黑体" w:ascii="Times New Roman" w:hAnsi="Times New Roman" w:cs="Times New Roman"/>
          <w:sz w:val="22"/>
          <w:szCs w:val="22"/>
        </w:rPr>
        <w:t>Notably, Gu et al. (2023) found that girls were also over-represented among children diagnosed before age 3, indicating that a severe phenotype breaks through the sex barrier to recognition. Later-diagnosed groups, by contrast, are characterised by co-occurring anxiety, obsessive-compulsive, and attention-deficit/hyperactivity features (Zhang et al., 2025). Age at diagnosis is therefore not merely a clinical observation but a useful stratifier for research.</w:t>
      </w:r>
    </w:p>
    <w:p>
      <w:pPr>
        <w:pStyle w:val="Heading1"/>
      </w:pPr>
      <w:r>
        <w:rPr>
          <w:rFonts w:eastAsia="思源黑体" w:ascii="Times New Roman" w:hAnsi="Times New Roman" w:cs="Times New Roman"/>
        </w:rPr>
        <w:t>4. Identification: the largest and best documented difference</w:t>
      </w:r>
    </w:p>
    <w:p>
      <w:pPr>
        <w:pStyle w:val="Heading2"/>
      </w:pPr>
      <w:r>
        <w:rPr>
          <w:rFonts w:eastAsia="思源黑体" w:ascii="Times New Roman" w:hAnsi="Times New Roman" w:cs="Times New Roman"/>
        </w:rPr>
        <w:t>4.1 Decomposing the timeline: concern is not late, referral is</w:t>
      </w:r>
    </w:p>
    <w:p>
      <w:pPr>
        <w:spacing w:after="80" w:line="300" w:lineRule="auto"/>
        <w:ind w:firstLine="440"/>
        <w:jc w:val="both"/>
      </w:pPr>
      <w:r>
        <w:rPr>
          <w:rFonts w:eastAsia="思源黑体" w:ascii="Times New Roman" w:hAnsi="Times New Roman" w:cs="Times New Roman"/>
          <w:sz w:val="22"/>
          <w:szCs w:val="22"/>
        </w:rPr>
        <w:t>McDonnell et al. (2021), using the Province of Ontario Neurodevelopmental Disorders network, reported no significant sex difference in the age at which parents first voiced concern; the difference emerged at first professional referral and at final diagnosis. Gu et al. (2023), analysing electronic health records for 1,438 children (1,142 boys, 296 girls) at Duke Health, quantified the mechanism. Girls were more likely to be diagnosed before age 3 or after age 11, whereas boys were concentrated between 3 and 11 years. In the two years preceding diagnosis, visits for anxiety (HR = 0.615) and mood disorders (HR = 0.493) were more common in girls and predicted later diagnosis, since a hazard ratio below 1 indicates a lower hazard of receiving the diagnosis at any given age; visits to otolaryngology were more common in boys and predicted earlier diagnosis (HR = 1.691). After adjustment for these conditions and visit types, the association between sex and age at diagnosis was attenuated and no longer statistically significant.</w:t>
      </w:r>
    </w:p>
    <w:p>
      <w:pPr>
        <w:spacing w:after="80" w:line="300" w:lineRule="auto"/>
        <w:ind w:firstLine="440"/>
        <w:jc w:val="both"/>
      </w:pPr>
      <w:r>
        <w:rPr>
          <w:rFonts w:eastAsia="思源黑体" w:ascii="Times New Roman" w:hAnsi="Times New Roman" w:cs="Times New Roman"/>
          <w:sz w:val="22"/>
          <w:szCs w:val="22"/>
        </w:rPr>
        <w:t>This is diagnostic overshadowing in operational form. The system does not deny the girl's difficulties; it assigns them to another category and stops asking.</w:t>
      </w:r>
    </w:p>
    <w:p>
      <w:pPr>
        <w:pStyle w:val="Heading2"/>
      </w:pPr>
      <w:r>
        <w:rPr>
          <w:rFonts w:eastAsia="思源黑体" w:ascii="Times New Roman" w:hAnsi="Times New Roman" w:cs="Times New Roman"/>
        </w:rPr>
        <w:t>4.2 Sex bias in screening instruments</w:t>
      </w:r>
    </w:p>
    <w:p>
      <w:pPr>
        <w:spacing w:after="80" w:line="300" w:lineRule="auto"/>
        <w:ind w:firstLine="440"/>
        <w:jc w:val="both"/>
      </w:pPr>
      <w:r>
        <w:rPr>
          <w:rFonts w:eastAsia="思源黑体" w:ascii="Times New Roman" w:hAnsi="Times New Roman" w:cs="Times New Roman"/>
          <w:sz w:val="22"/>
          <w:szCs w:val="22"/>
        </w:rPr>
        <w:t>The Modified Checklist for Autism in Toddlers, Revised with Follow-Up (M-CHAT-R/F) is the most widely used first-stage screener, and its performance is markedly sex-asymmetric. Guthrie et al. (2019) screened 25,999 children in a pediatric primary care network and followed them systematically to 4–8 years, reporting an overall sensitivity of 38.8% and a positive predictive value of 14.6%, with lower positive predictive value in girls. Burrows and Zheng (2024) give the sex-disaggregated figures: 7.7% in children assigned female at birth versus 19.9% in those assigned male. Taken together, a negative screen is far from an exclusion, and for girls the exclusionary value of a negative screen is lower still.</w:t>
      </w:r>
    </w:p>
    <w:p>
      <w:pPr>
        <w:spacing w:after="80" w:line="300" w:lineRule="auto"/>
        <w:ind w:firstLine="440"/>
        <w:jc w:val="both"/>
      </w:pPr>
      <w:r>
        <w:rPr>
          <w:rFonts w:eastAsia="思源黑体" w:ascii="Times New Roman" w:hAnsi="Times New Roman" w:cs="Times New Roman"/>
          <w:sz w:val="22"/>
          <w:szCs w:val="22"/>
        </w:rPr>
        <w:t>Three convergent lines of explanation exist. First, the behavioral exemplars on which item content was built derive largely from male samples, so the imitative sociability of many girls and their intense but gender-normative special interests are poorly captured by existing items (Lai et al., 2023). Second, most screeners rely on caregiver report, which is itself shaped by the sex of the child being described and by the informant's gendered expectations (Burrows &amp; Zheng, 2024). Third, the M-CHAT-R/F and the Social Communication Questionnaire are driven principally by the social communication dimension in toddler and preschool girls and are insensitive to the RRB dimension, which in girls is both subtler and less stable (see section 5.2).</w:t>
      </w:r>
    </w:p>
    <w:p>
      <w:pPr>
        <w:pStyle w:val="Heading2"/>
      </w:pPr>
      <w:r>
        <w:rPr>
          <w:rFonts w:eastAsia="思源黑体" w:ascii="Times New Roman" w:hAnsi="Times New Roman" w:cs="Times New Roman"/>
        </w:rPr>
        <w:t>4.3 Six signals commonly missed in girls</w:t>
      </w:r>
    </w:p>
    <w:p>
      <w:pPr>
        <w:spacing w:after="80" w:line="300" w:lineRule="auto"/>
        <w:ind w:firstLine="440"/>
        <w:jc w:val="both"/>
      </w:pPr>
      <w:r>
        <w:rPr>
          <w:rFonts w:eastAsia="思源黑体" w:ascii="Times New Roman" w:hAnsi="Times New Roman" w:cs="Times New Roman"/>
          <w:sz w:val="22"/>
          <w:szCs w:val="22"/>
        </w:rPr>
        <w:t>The signals most often overlooked in primary care and early education settings are summarised in Table 1.</w:t>
      </w:r>
    </w:p>
    <w:p>
      <w:pPr>
        <w:spacing w:after="20" w:line="300" w:lineRule="auto"/>
        <w:jc w:val="both"/>
      </w:pPr>
      <w:r>
        <w:rPr>
          <w:rFonts w:eastAsia="思源黑体" w:ascii="Times New Roman" w:hAnsi="Times New Roman" w:cs="Times New Roman"/>
          <w:sz w:val="21.0"/>
          <w:szCs w:val="21.0"/>
        </w:rPr>
        <w:t>Table 1</w:t>
      </w:r>
    </w:p>
    <w:p>
      <w:pPr>
        <w:spacing w:after="80" w:line="300" w:lineRule="auto"/>
        <w:jc w:val="both"/>
      </w:pPr>
      <w:r>
        <w:rPr>
          <w:rFonts w:eastAsia="思源黑体" w:ascii="Times New Roman" w:hAnsi="Times New Roman" w:cs="Times New Roman"/>
          <w:i/>
          <w:sz w:val="21.0"/>
          <w:szCs w:val="21.0"/>
        </w:rPr>
        <w:t>Common Presentations in Autistic Boys and Girls and Typical Misreadings</w:t>
      </w:r>
    </w:p>
    <w:tbl>
      <w:tblPr>
        <w:tblW w:type="dxa" w:w="9026"/>
        <w:jc w:val="left"/>
        <w:tblBorders>
          <w:top w:val="single" w:sz="4" w:color="CCCCCC"/>
          <w:left w:val="single" w:sz="4" w:color="CCCCCC"/>
          <w:bottom w:val="single" w:sz="4" w:color="CCCCCC"/>
          <w:right w:val="single" w:sz="4" w:color="CCCCCC"/>
          <w:insideH w:val="single" w:sz="4" w:color="CCCCCC"/>
          <w:insideV w:val="single" w:sz="4" w:color="CCCCCC"/>
        </w:tblBorders>
        <w:tblLayout w:type="fixed"/>
        <w:tblLook w:firstColumn="1" w:firstRow="1" w:lastColumn="0" w:lastRow="0" w:noHBand="0" w:noVBand="1" w:val="04A0"/>
      </w:tblPr>
      <w:tblGrid>
        <w:gridCol w:w="1400"/>
        <w:gridCol w:w="2100"/>
        <w:gridCol w:w="3200"/>
        <w:gridCol w:w="2326"/>
      </w:tblGrid>
      <w:tr>
        <w:tc>
          <w:tcPr>
            <w:tcW w:type="dxa" w:w="1400"/>
            <w:shd w:val="clear" w:color="auto" w:fill="D5E8F0"/>
          </w:tcPr>
          <w:p>
            <w:r>
              <w:rPr>
                <w:rFonts w:eastAsia="思源黑体" w:ascii="Times New Roman" w:hAnsi="Times New Roman" w:cs="Times New Roman"/>
                <w:b/>
                <w:bCs/>
              </w:rPr>
              <w:t>Domain</w:t>
            </w:r>
          </w:p>
        </w:tc>
        <w:tc>
          <w:tcPr>
            <w:tcW w:type="dxa" w:w="2100"/>
            <w:shd w:val="clear" w:color="auto" w:fill="D5E8F0"/>
          </w:tcPr>
          <w:p>
            <w:r>
              <w:rPr>
                <w:rFonts w:eastAsia="思源黑体" w:ascii="Times New Roman" w:hAnsi="Times New Roman" w:cs="Times New Roman"/>
                <w:b/>
                <w:bCs/>
              </w:rPr>
              <w:t>Common in boys</w:t>
            </w:r>
          </w:p>
        </w:tc>
        <w:tc>
          <w:tcPr>
            <w:tcW w:type="dxa" w:w="3200"/>
            <w:shd w:val="clear" w:color="auto" w:fill="D5E8F0"/>
          </w:tcPr>
          <w:p>
            <w:r>
              <w:rPr>
                <w:rFonts w:eastAsia="思源黑体" w:ascii="Times New Roman" w:hAnsi="Times New Roman" w:cs="Times New Roman"/>
                <w:b/>
                <w:bCs/>
              </w:rPr>
              <w:t>Common in girls</w:t>
            </w:r>
          </w:p>
        </w:tc>
        <w:tc>
          <w:tcPr>
            <w:tcW w:type="dxa" w:w="2326"/>
            <w:shd w:val="clear" w:color="auto" w:fill="D5E8F0"/>
          </w:tcPr>
          <w:p>
            <w:r>
              <w:rPr>
                <w:rFonts w:eastAsia="思源黑体" w:ascii="Times New Roman" w:hAnsi="Times New Roman" w:cs="Times New Roman"/>
                <w:b/>
                <w:bCs/>
              </w:rPr>
              <w:t>Often read as</w:t>
            </w:r>
          </w:p>
        </w:tc>
      </w:tr>
      <w:tr>
        <w:tc>
          <w:tcPr>
            <w:tcW w:type="dxa" w:w="1400"/>
          </w:tcPr>
          <w:p>
            <w:r>
              <w:rPr>
                <w:rFonts w:eastAsia="思源黑体" w:ascii="Times New Roman" w:hAnsi="Times New Roman" w:cs="Times New Roman"/>
              </w:rPr>
              <w:t>Social style</w:t>
            </w:r>
          </w:p>
        </w:tc>
        <w:tc>
          <w:tcPr>
            <w:tcW w:type="dxa" w:w="2100"/>
          </w:tcPr>
          <w:p>
            <w:r>
              <w:rPr>
                <w:rFonts w:eastAsia="思源黑体" w:ascii="Times New Roman" w:hAnsi="Times New Roman" w:cs="Times New Roman"/>
              </w:rPr>
              <w:t>Withdrawal, solitude</w:t>
            </w:r>
          </w:p>
        </w:tc>
        <w:tc>
          <w:tcPr>
            <w:tcW w:type="dxa" w:w="3200"/>
          </w:tcPr>
          <w:p>
            <w:r>
              <w:rPr>
                <w:rFonts w:eastAsia="思源黑体" w:ascii="Times New Roman" w:hAnsi="Times New Roman" w:cs="Times New Roman"/>
              </w:rPr>
              <w:t>Stays near peers but participates peripherally; imitative sociability</w:t>
            </w:r>
          </w:p>
        </w:tc>
        <w:tc>
          <w:tcPr>
            <w:tcW w:type="dxa" w:w="2326"/>
          </w:tcPr>
          <w:p>
            <w:r>
              <w:rPr>
                <w:rFonts w:eastAsia="思源黑体" w:ascii="Times New Roman" w:hAnsi="Times New Roman" w:cs="Times New Roman"/>
              </w:rPr>
              <w:t>Shyness, being well behaved</w:t>
            </w:r>
          </w:p>
        </w:tc>
      </w:tr>
      <w:tr>
        <w:tc>
          <w:tcPr>
            <w:tcW w:type="dxa" w:w="1400"/>
          </w:tcPr>
          <w:p>
            <w:r>
              <w:rPr>
                <w:rFonts w:eastAsia="思源黑体" w:ascii="Times New Roman" w:hAnsi="Times New Roman" w:cs="Times New Roman"/>
              </w:rPr>
              <w:t>RRB</w:t>
            </w:r>
          </w:p>
        </w:tc>
        <w:tc>
          <w:tcPr>
            <w:tcW w:type="dxa" w:w="2100"/>
          </w:tcPr>
          <w:p>
            <w:r>
              <w:rPr>
                <w:rFonts w:eastAsia="思源黑体" w:ascii="Times New Roman" w:hAnsi="Times New Roman" w:cs="Times New Roman"/>
              </w:rPr>
              <w:t>Spinning, lining up, watching rotating objects</w:t>
            </w:r>
          </w:p>
        </w:tc>
        <w:tc>
          <w:tcPr>
            <w:tcW w:type="dxa" w:w="3200"/>
          </w:tcPr>
          <w:p>
            <w:r>
              <w:rPr>
                <w:rFonts w:eastAsia="思源黑体" w:ascii="Times New Roman" w:hAnsi="Times New Roman" w:cs="Times New Roman"/>
              </w:rPr>
              <w:t>Stroking textures, flipping pages, ritualised sequencing, hair pulling</w:t>
            </w:r>
          </w:p>
        </w:tc>
        <w:tc>
          <w:tcPr>
            <w:tcW w:type="dxa" w:w="2326"/>
          </w:tcPr>
          <w:p>
            <w:r>
              <w:rPr>
                <w:rFonts w:eastAsia="思源黑体" w:ascii="Times New Roman" w:hAnsi="Times New Roman" w:cs="Times New Roman"/>
              </w:rPr>
              <w:t>A habit, a minor quirk</w:t>
            </w:r>
          </w:p>
        </w:tc>
      </w:tr>
      <w:tr>
        <w:tc>
          <w:tcPr>
            <w:tcW w:type="dxa" w:w="1400"/>
          </w:tcPr>
          <w:p>
            <w:r>
              <w:rPr>
                <w:rFonts w:eastAsia="思源黑体" w:ascii="Times New Roman" w:hAnsi="Times New Roman" w:cs="Times New Roman"/>
              </w:rPr>
              <w:t>Special interests</w:t>
            </w:r>
          </w:p>
        </w:tc>
        <w:tc>
          <w:tcPr>
            <w:tcW w:type="dxa" w:w="2100"/>
          </w:tcPr>
          <w:p>
            <w:r>
              <w:rPr>
                <w:rFonts w:eastAsia="思源黑体" w:ascii="Times New Roman" w:hAnsi="Times New Roman" w:cs="Times New Roman"/>
              </w:rPr>
              <w:t>Transport, mechanics, timetables</w:t>
            </w:r>
          </w:p>
        </w:tc>
        <w:tc>
          <w:tcPr>
            <w:tcW w:type="dxa" w:w="3200"/>
          </w:tcPr>
          <w:p>
            <w:r>
              <w:rPr>
                <w:rFonts w:eastAsia="思源黑体" w:ascii="Times New Roman" w:hAnsi="Times New Roman" w:cs="Times New Roman"/>
              </w:rPr>
              <w:t>Animals, crafts, idols, literature (gender-normative content, abnormal intensity)</w:t>
            </w:r>
          </w:p>
        </w:tc>
        <w:tc>
          <w:tcPr>
            <w:tcW w:type="dxa" w:w="2326"/>
          </w:tcPr>
          <w:p>
            <w:r>
              <w:rPr>
                <w:rFonts w:eastAsia="思源黑体" w:ascii="Times New Roman" w:hAnsi="Times New Roman" w:cs="Times New Roman"/>
              </w:rPr>
              <w:t>A normal hobby</w:t>
            </w:r>
          </w:p>
        </w:tc>
      </w:tr>
      <w:tr>
        <w:tc>
          <w:tcPr>
            <w:tcW w:type="dxa" w:w="1400"/>
          </w:tcPr>
          <w:p>
            <w:r>
              <w:rPr>
                <w:rFonts w:eastAsia="思源黑体" w:ascii="Times New Roman" w:hAnsi="Times New Roman" w:cs="Times New Roman"/>
              </w:rPr>
              <w:t>Emotional and behavioral</w:t>
            </w:r>
          </w:p>
        </w:tc>
        <w:tc>
          <w:tcPr>
            <w:tcW w:type="dxa" w:w="2100"/>
          </w:tcPr>
          <w:p>
            <w:r>
              <w:rPr>
                <w:rFonts w:eastAsia="思源黑体" w:ascii="Times New Roman" w:hAnsi="Times New Roman" w:cs="Times New Roman"/>
              </w:rPr>
              <w:t>Externalising: impulsivity, aggression</w:t>
            </w:r>
          </w:p>
        </w:tc>
        <w:tc>
          <w:tcPr>
            <w:tcW w:type="dxa" w:w="3200"/>
          </w:tcPr>
          <w:p>
            <w:r>
              <w:rPr>
                <w:rFonts w:eastAsia="思源黑体" w:ascii="Times New Roman" w:hAnsi="Times New Roman" w:cs="Times New Roman"/>
              </w:rPr>
              <w:t>Internalising: anxiety, withdrawal, collapse after school, selective mutism</w:t>
            </w:r>
          </w:p>
        </w:tc>
        <w:tc>
          <w:tcPr>
            <w:tcW w:type="dxa" w:w="2326"/>
          </w:tcPr>
          <w:p>
            <w:r>
              <w:rPr>
                <w:rFonts w:eastAsia="思源黑体" w:ascii="Times New Roman" w:hAnsi="Times New Roman" w:cs="Times New Roman"/>
              </w:rPr>
              <w:t>A personality problem</w:t>
            </w:r>
          </w:p>
        </w:tc>
      </w:tr>
      <w:tr>
        <w:tc>
          <w:tcPr>
            <w:tcW w:type="dxa" w:w="1400"/>
          </w:tcPr>
          <w:p>
            <w:r>
              <w:rPr>
                <w:rFonts w:eastAsia="思源黑体" w:ascii="Times New Roman" w:hAnsi="Times New Roman" w:cs="Times New Roman"/>
              </w:rPr>
              <w:t>Sensory response</w:t>
            </w:r>
          </w:p>
        </w:tc>
        <w:tc>
          <w:tcPr>
            <w:tcW w:type="dxa" w:w="2100"/>
          </w:tcPr>
          <w:p>
            <w:r>
              <w:rPr>
                <w:rFonts w:eastAsia="思源黑体" w:ascii="Times New Roman" w:hAnsi="Times New Roman" w:cs="Times New Roman"/>
              </w:rPr>
              <w:t>More sensory seeking</w:t>
            </w:r>
          </w:p>
        </w:tc>
        <w:tc>
          <w:tcPr>
            <w:tcW w:type="dxa" w:w="3200"/>
          </w:tcPr>
          <w:p>
            <w:r>
              <w:rPr>
                <w:rFonts w:eastAsia="思源黑体" w:ascii="Times New Roman" w:hAnsi="Times New Roman" w:cs="Times New Roman"/>
              </w:rPr>
              <w:t>Hyperreactivity: refusal of clothing textures or sounds, extremely narrow eating</w:t>
            </w:r>
          </w:p>
        </w:tc>
        <w:tc>
          <w:tcPr>
            <w:tcW w:type="dxa" w:w="2326"/>
          </w:tcPr>
          <w:p>
            <w:r>
              <w:rPr>
                <w:rFonts w:eastAsia="思源黑体" w:ascii="Times New Roman" w:hAnsi="Times New Roman" w:cs="Times New Roman"/>
              </w:rPr>
              <w:t>Picky eating, a gastrointestinal problem</w:t>
            </w:r>
          </w:p>
        </w:tc>
      </w:tr>
      <w:tr>
        <w:tc>
          <w:tcPr>
            <w:tcW w:type="dxa" w:w="1400"/>
          </w:tcPr>
          <w:p>
            <w:r>
              <w:rPr>
                <w:rFonts w:eastAsia="思源黑体" w:ascii="Times New Roman" w:hAnsi="Times New Roman" w:cs="Times New Roman"/>
              </w:rPr>
              <w:t>Developmental course</w:t>
            </w:r>
          </w:p>
        </w:tc>
        <w:tc>
          <w:tcPr>
            <w:tcW w:type="dxa" w:w="2100"/>
          </w:tcPr>
          <w:p>
            <w:r>
              <w:rPr>
                <w:rFonts w:eastAsia="思源黑体" w:ascii="Times New Roman" w:hAnsi="Times New Roman" w:cs="Times New Roman"/>
              </w:rPr>
              <w:t>Relatively stable</w:t>
            </w:r>
          </w:p>
        </w:tc>
        <w:tc>
          <w:tcPr>
            <w:tcW w:type="dxa" w:w="3200"/>
          </w:tcPr>
          <w:p>
            <w:r>
              <w:rPr>
                <w:rFonts w:eastAsia="思源黑体" w:ascii="Times New Roman" w:hAnsi="Times New Roman" w:cs="Times New Roman"/>
              </w:rPr>
              <w:t>Apparent adaptation in school age, decline in social functioning at puberty</w:t>
            </w:r>
          </w:p>
        </w:tc>
        <w:tc>
          <w:tcPr>
            <w:tcW w:type="dxa" w:w="2326"/>
          </w:tcPr>
          <w:p>
            <w:r>
              <w:rPr>
                <w:rFonts w:eastAsia="思源黑体" w:ascii="Times New Roman" w:hAnsi="Times New Roman" w:cs="Times New Roman"/>
              </w:rPr>
              <w:t>She will grow out of it</w:t>
            </w:r>
          </w:p>
        </w:tc>
      </w:tr>
    </w:tbl>
    <w:p>
      <w:pPr>
        <w:spacing w:after="80" w:line="300" w:lineRule="auto"/>
        <w:ind w:firstLine="440"/>
        <w:jc w:val="both"/>
      </w:pPr>
      <w:r>
        <w:rPr>
          <w:rFonts w:eastAsia="思源黑体" w:ascii="Times New Roman" w:hAnsi="Times New Roman" w:cs="Times New Roman"/>
          <w:sz w:val="22"/>
          <w:szCs w:val="22"/>
        </w:rPr>
        <w:t>The final row matters most. The female incidence peak falls at 15–19 years (Fyfe et al., 2026), and many girls show comparatively mature social skills in childhood only to decline in social functioning at puberty, at which point their difficulties become visible. The current screening window of 18–24 months may therefore be the first window for girls, but not the last.</w:t>
      </w:r>
    </w:p>
    <w:p>
      <w:pPr>
        <w:pStyle w:val="Heading1"/>
      </w:pPr>
      <w:r>
        <w:rPr>
          <w:rFonts w:eastAsia="思源黑体" w:ascii="Times New Roman" w:hAnsi="Times New Roman" w:cs="Times New Roman"/>
        </w:rPr>
        <w:t>5. Assessment: locating and correcting bias</w:t>
      </w:r>
    </w:p>
    <w:p>
      <w:pPr>
        <w:pStyle w:val="Heading2"/>
      </w:pPr>
      <w:r>
        <w:rPr>
          <w:rFonts w:eastAsia="思源黑体" w:ascii="Times New Roman" w:hAnsi="Times New Roman" w:cs="Times New Roman"/>
        </w:rPr>
        <w:t>5.1 Core symptoms: a smaller gap than supposed</w:t>
      </w:r>
    </w:p>
    <w:p>
      <w:pPr>
        <w:spacing w:after="80" w:line="300" w:lineRule="auto"/>
        <w:ind w:firstLine="440"/>
        <w:jc w:val="both"/>
      </w:pPr>
      <w:r>
        <w:rPr>
          <w:rFonts w:eastAsia="思源黑体" w:ascii="Times New Roman" w:hAnsi="Times New Roman" w:cs="Times New Roman"/>
          <w:sz w:val="22"/>
          <w:szCs w:val="22"/>
        </w:rPr>
        <w:t>Hou et al. (2025), comparing 1,760 boys and 350 girls aged 4–17 years with the Social Responsiveness Scale-2, found that girls showed lower severity and lower occurrence of RRB both overall and at symptom level, while multigroup confirmatory factor analysis indicated that sex did not significantly alter the conceptual structure of RRB. The difference is at the level of symptoms, not of the construct. This distinction has methodological value: the remedy is not a separate diagnostic standard but a revision of item weighting and behavioral exemplars.</w:t>
      </w:r>
    </w:p>
    <w:p>
      <w:pPr>
        <w:pStyle w:val="Heading2"/>
      </w:pPr>
      <w:r>
        <w:rPr>
          <w:rFonts w:eastAsia="思源黑体" w:ascii="Times New Roman" w:hAnsi="Times New Roman" w:cs="Times New Roman"/>
        </w:rPr>
        <w:t>5.2 Stability of restricted and repetitive behaviors</w:t>
      </w:r>
    </w:p>
    <w:p>
      <w:pPr>
        <w:spacing w:after="80" w:line="300" w:lineRule="auto"/>
        <w:ind w:firstLine="440"/>
        <w:jc w:val="both"/>
      </w:pPr>
      <w:r>
        <w:rPr>
          <w:rFonts w:eastAsia="思源黑体" w:ascii="Times New Roman" w:hAnsi="Times New Roman" w:cs="Times New Roman"/>
          <w:sz w:val="22"/>
          <w:szCs w:val="22"/>
        </w:rPr>
        <w:t>In a 1–3 year follow-up of a subset of that sample (166 boys, 41 girls), Hou et al. (2025) found that RRB symptoms remained stable across the two assessments for boys, whereas only specific symptoms were highly consistent over time for girls. Girls' RRB is more variable across contexts and occasions, which puts single-visit assessment at a particular disadvantage.</w:t>
      </w:r>
    </w:p>
    <w:p>
      <w:pPr>
        <w:spacing w:after="80" w:line="300" w:lineRule="auto"/>
        <w:ind w:firstLine="440"/>
        <w:jc w:val="both"/>
      </w:pPr>
      <w:r>
        <w:rPr>
          <w:rFonts w:eastAsia="思源黑体" w:ascii="Times New Roman" w:hAnsi="Times New Roman" w:cs="Times New Roman"/>
          <w:sz w:val="22"/>
          <w:szCs w:val="22"/>
        </w:rPr>
        <w:t>These findings converge with longitudinal Autism Diagnostic Observation Schedule data. Waizbard et al. (2025) followed 183 children (55 girls) from age 3 to 11 and found that girls decreased in total calibrated severity scores and in RRB severity across childhood while boys remained stable, with girls' gains concentrated in items concerning social engagement and responsiveness. The conclusion to be drawn cautiously is that improvement in girls blends genuine development with learned concealment; without separating the two, prognostic communication and goal setting will both go wrong.</w:t>
      </w:r>
    </w:p>
    <w:p>
      <w:pPr>
        <w:pStyle w:val="Heading2"/>
      </w:pPr>
      <w:r>
        <w:rPr>
          <w:rFonts w:eastAsia="思源黑体" w:ascii="Times New Roman" w:hAnsi="Times New Roman" w:cs="Times New Roman"/>
        </w:rPr>
        <w:t>5.3 Camouflaging: clear mechanism, uncertain measurement</w:t>
      </w:r>
    </w:p>
    <w:p>
      <w:pPr>
        <w:spacing w:after="80" w:line="300" w:lineRule="auto"/>
        <w:ind w:firstLine="440"/>
        <w:jc w:val="both"/>
      </w:pPr>
      <w:r>
        <w:rPr>
          <w:rFonts w:eastAsia="思源黑体" w:ascii="Times New Roman" w:hAnsi="Times New Roman" w:cs="Times New Roman"/>
          <w:sz w:val="22"/>
          <w:szCs w:val="22"/>
        </w:rPr>
        <w:t>The Camouflaging Autistic Traits Questionnaire developed by Hull et al. (2019) operationalises camouflaging as masking, compensation, and assimilation, and its structure has been replicated in several national versions. In child and adolescent samples, Wood-Downie et al. (2021) tested two operationalisations in 84 participants and found that autistic girls showed higher social reciprocity than autistic boys despite comparable levels of autistic traits, and that autistic and neurotypical girls did not differ in reciprocity, whereas autistic boys fell below neurotypical boys. Camouflaging is thus already sex-differentiated in childhood and is likely to delay recognition of difficulty.</w:t>
      </w:r>
    </w:p>
    <w:p>
      <w:pPr>
        <w:spacing w:after="80" w:line="300" w:lineRule="auto"/>
        <w:ind w:firstLine="440"/>
        <w:jc w:val="both"/>
      </w:pPr>
      <w:r>
        <w:rPr>
          <w:rFonts w:eastAsia="思源黑体" w:ascii="Times New Roman" w:hAnsi="Times New Roman" w:cs="Times New Roman"/>
          <w:sz w:val="22"/>
          <w:szCs w:val="22"/>
        </w:rPr>
        <w:t>Its costs become clearer by adolescence. In a qualitative study set in inclusive high schools, Goscicki et al. (2026) found that girls described camouflaging as a round, bruising sort of pain, bound up with internalising symptoms, exhaustion, and a fragile sense of belonging, and that camouflaging was lowest in the presence of neurodivergent peers. At the meta-analytic level, Cancino-Barros et al. (2025), synthesising 17 independent meta-analyses, found consistently higher scores in autistic females than autistic males and higher scores in autistic than neurotypical individuals, with age moderating comparisons between neurotypical groups.</w:t>
      </w:r>
    </w:p>
    <w:p>
      <w:pPr>
        <w:spacing w:after="80" w:line="300" w:lineRule="auto"/>
        <w:ind w:firstLine="440"/>
        <w:jc w:val="both"/>
      </w:pPr>
      <w:r>
        <w:rPr>
          <w:rFonts w:eastAsia="思源黑体" w:ascii="Times New Roman" w:hAnsi="Times New Roman" w:cs="Times New Roman"/>
          <w:sz w:val="22"/>
          <w:szCs w:val="22"/>
        </w:rPr>
        <w:t>Three validity cautions must nevertheless govern practice. The factor structure of the Camouflaging Autistic Traits Questionnaire is unstable below age 15, so it should not be used alone for diagnosis or group allocation. Self-report is affected by insight and by depression, and observer ratings are liable to contamination by camouflaging itself. Meta-analytic work further indicates that some apparent sex differences depend on whether a neurotypical comparison group is included and are moderated by age (Cancino-Barros et al., 2025). Camouflaging indices should therefore serve as supplementary information and hypothesis generation rather than as grouping variables or access thresholds.</w:t>
      </w:r>
    </w:p>
    <w:p>
      <w:pPr>
        <w:pStyle w:val="Heading2"/>
      </w:pPr>
      <w:r>
        <w:rPr>
          <w:rFonts w:eastAsia="思源黑体" w:ascii="Times New Roman" w:hAnsi="Times New Roman" w:cs="Times New Roman"/>
        </w:rPr>
        <w:t>5.4 Sex moderation of co-occurring conditions and adaptive function</w:t>
      </w:r>
    </w:p>
    <w:p>
      <w:pPr>
        <w:spacing w:after="80" w:line="300" w:lineRule="auto"/>
        <w:ind w:firstLine="440"/>
        <w:jc w:val="both"/>
      </w:pPr>
      <w:r>
        <w:rPr>
          <w:rFonts w:eastAsia="思源黑体" w:ascii="Times New Roman" w:hAnsi="Times New Roman" w:cs="Times New Roman"/>
          <w:sz w:val="22"/>
          <w:szCs w:val="22"/>
        </w:rPr>
        <w:t>Chen et al. (2025) followed 389 children diagnosed with autism between ages 2 and 5 across eight timepoints to age 12. After correcting item-level measurement non-invariance on the Social Responsiveness Scale, associations between social-communication difficulties and emotional and behavioral concerns were strong in boys around ages 7–9 and diminished thereafter, whereas girls showed stable or intensifying associations, particularly with anxiety, into late childhood. Mental health monitoring for girls should therefore extend into adolescence rather than being concentrated in the preschool years.</w:t>
      </w:r>
    </w:p>
    <w:p>
      <w:pPr>
        <w:pStyle w:val="Heading2"/>
      </w:pPr>
      <w:r>
        <w:rPr>
          <w:rFonts w:eastAsia="思源黑体" w:ascii="Times New Roman" w:hAnsi="Times New Roman" w:cs="Times New Roman"/>
        </w:rPr>
        <w:t>5.5 Procedural recommendations for routine practice</w:t>
      </w:r>
    </w:p>
    <w:p>
      <w:pPr>
        <w:spacing w:after="80" w:line="300" w:lineRule="auto"/>
        <w:ind w:firstLine="440"/>
        <w:jc w:val="both"/>
      </w:pPr>
      <w:r>
        <w:rPr>
          <w:rFonts w:eastAsia="思源黑体" w:ascii="Times New Roman" w:hAnsi="Times New Roman" w:cs="Times New Roman"/>
          <w:sz w:val="22"/>
          <w:szCs w:val="22"/>
        </w:rPr>
        <w:t xml:space="preserve">(1) </w:t>
      </w:r>
      <w:r>
        <w:rPr>
          <w:rFonts w:eastAsia="思源黑体" w:ascii="Times New Roman" w:hAnsi="Times New Roman" w:cs="Times New Roman"/>
          <w:i/>
          <w:sz w:val="22"/>
          <w:szCs w:val="22"/>
        </w:rPr>
        <w:t>Developmental history over single observation.</w:t>
      </w:r>
      <w:r>
        <w:rPr>
          <w:rFonts w:eastAsia="思源黑体" w:ascii="Times New Roman" w:hAnsi="Times New Roman" w:cs="Times New Roman"/>
          <w:sz w:val="22"/>
          <w:szCs w:val="22"/>
        </w:rPr>
        <w:t xml:space="preserve"> Girls often present at their best in the clinic, being cooperative, imitative, and capable of brief eye contact, so a single observation readily underestimates difficulty. Both home and school data sets should be collected, including video and teacher report.</w:t>
      </w:r>
    </w:p>
    <w:p>
      <w:pPr>
        <w:spacing w:after="80" w:line="300" w:lineRule="auto"/>
        <w:ind w:firstLine="440"/>
        <w:jc w:val="both"/>
      </w:pPr>
      <w:r>
        <w:rPr>
          <w:rFonts w:eastAsia="思源黑体" w:ascii="Times New Roman" w:hAnsi="Times New Roman" w:cs="Times New Roman"/>
          <w:sz w:val="22"/>
          <w:szCs w:val="22"/>
        </w:rPr>
        <w:t xml:space="preserve">(2) </w:t>
      </w:r>
      <w:r>
        <w:rPr>
          <w:rFonts w:eastAsia="思源黑体" w:ascii="Times New Roman" w:hAnsi="Times New Roman" w:cs="Times New Roman"/>
          <w:i/>
          <w:sz w:val="22"/>
          <w:szCs w:val="22"/>
        </w:rPr>
        <w:t>Mandatory retrospective triggers.</w:t>
      </w:r>
      <w:r>
        <w:rPr>
          <w:rFonts w:eastAsia="思源黑体" w:ascii="Times New Roman" w:hAnsi="Times New Roman" w:cs="Times New Roman"/>
          <w:sz w:val="22"/>
          <w:szCs w:val="22"/>
        </w:rPr>
        <w:t xml:space="preserve"> For any girl presenting with an anxiety disorder, mood disorder, school refusal, selective mutism, eating disorder, tic disorder, or sleep disorder, assessment should trace back to early social communication patterns, the intensity and exclusivity of interests, sensory refusal, and ritualised behavior. Selective mutism in the preschool years was reported as an early manifestation of ASD in a series of four girls of normal-range intelligence subsequently diagnosed by a multidisciplinary team (Nagar Shimoni et al., 2025) and may warrant a 6–12 month re-assessment node.</w:t>
      </w:r>
    </w:p>
    <w:p>
      <w:pPr>
        <w:spacing w:after="80" w:line="300" w:lineRule="auto"/>
        <w:ind w:firstLine="440"/>
        <w:jc w:val="both"/>
      </w:pPr>
      <w:r>
        <w:rPr>
          <w:rFonts w:eastAsia="思源黑体" w:ascii="Times New Roman" w:hAnsi="Times New Roman" w:cs="Times New Roman"/>
          <w:sz w:val="22"/>
          <w:szCs w:val="22"/>
        </w:rPr>
        <w:t xml:space="preserve">(3) </w:t>
      </w:r>
      <w:r>
        <w:rPr>
          <w:rFonts w:eastAsia="思源黑体" w:ascii="Times New Roman" w:hAnsi="Times New Roman" w:cs="Times New Roman"/>
          <w:i/>
          <w:sz w:val="22"/>
          <w:szCs w:val="22"/>
        </w:rPr>
        <w:t>An expanded library of behavioral exemplars.</w:t>
      </w:r>
      <w:r>
        <w:rPr>
          <w:rFonts w:eastAsia="思源黑体" w:ascii="Times New Roman" w:hAnsi="Times New Roman" w:cs="Times New Roman"/>
          <w:sz w:val="22"/>
          <w:szCs w:val="22"/>
        </w:rPr>
        <w:t xml:space="preserve"> Assessment should look beyond spinning and failure to respond, actively probing ritualised sequencing, texture refusal, imitative sociability, a history of selective mutism, and recovery time after social interaction (Lai et al., 2023).</w:t>
      </w:r>
    </w:p>
    <w:p>
      <w:pPr>
        <w:spacing w:after="80" w:line="300" w:lineRule="auto"/>
        <w:ind w:firstLine="440"/>
        <w:jc w:val="both"/>
      </w:pPr>
      <w:r>
        <w:rPr>
          <w:rFonts w:eastAsia="思源黑体" w:ascii="Times New Roman" w:hAnsi="Times New Roman" w:cs="Times New Roman"/>
          <w:sz w:val="22"/>
          <w:szCs w:val="22"/>
        </w:rPr>
        <w:t xml:space="preserve">(4) </w:t>
      </w:r>
      <w:r>
        <w:rPr>
          <w:rFonts w:eastAsia="思源黑体" w:ascii="Times New Roman" w:hAnsi="Times New Roman" w:cs="Times New Roman"/>
          <w:i/>
          <w:sz w:val="22"/>
          <w:szCs w:val="22"/>
        </w:rPr>
        <w:t>Do not defer assessment on the basis of IQ or language.</w:t>
      </w:r>
      <w:r>
        <w:rPr>
          <w:rFonts w:eastAsia="思源黑体" w:ascii="Times New Roman" w:hAnsi="Times New Roman" w:cs="Times New Roman"/>
          <w:sz w:val="22"/>
          <w:szCs w:val="22"/>
        </w:rPr>
        <w:t xml:space="preserve"> Higher verbal ability is associated with later diagnosis in girls (McDonnell et al., 2021).</w:t>
      </w:r>
    </w:p>
    <w:p>
      <w:pPr>
        <w:spacing w:after="80" w:line="300" w:lineRule="auto"/>
        <w:ind w:firstLine="440"/>
        <w:jc w:val="both"/>
      </w:pPr>
      <w:r>
        <w:rPr>
          <w:rFonts w:eastAsia="思源黑体" w:ascii="Times New Roman" w:hAnsi="Times New Roman" w:cs="Times New Roman"/>
          <w:sz w:val="22"/>
          <w:szCs w:val="22"/>
        </w:rPr>
        <w:t xml:space="preserve">(5) </w:t>
      </w:r>
      <w:r>
        <w:rPr>
          <w:rFonts w:eastAsia="思源黑体" w:ascii="Times New Roman" w:hAnsi="Times New Roman" w:cs="Times New Roman"/>
          <w:i/>
          <w:sz w:val="22"/>
          <w:szCs w:val="22"/>
        </w:rPr>
        <w:t>State uncertainty explicitly in the report.</w:t>
      </w:r>
      <w:r>
        <w:rPr>
          <w:rFonts w:eastAsia="思源黑体" w:ascii="Times New Roman" w:hAnsi="Times New Roman" w:cs="Times New Roman"/>
          <w:sz w:val="22"/>
          <w:szCs w:val="22"/>
        </w:rPr>
        <w:t xml:space="preserve"> National guidance already requires periodic re-assessment for children who cannot yet be confirmed (National Health Commission, 2022); this clause matters especially for girls and should be applied proactively rather than awaited.</w:t>
      </w:r>
    </w:p>
    <w:p>
      <w:pPr>
        <w:spacing w:after="80" w:line="300" w:lineRule="auto"/>
        <w:ind w:firstLine="440"/>
        <w:jc w:val="both"/>
      </w:pPr>
      <w:r>
        <w:rPr>
          <w:rFonts w:eastAsia="思源黑体" w:ascii="Times New Roman" w:hAnsi="Times New Roman" w:cs="Times New Roman"/>
          <w:sz w:val="22"/>
          <w:szCs w:val="22"/>
        </w:rPr>
        <w:t xml:space="preserve">(6) </w:t>
      </w:r>
      <w:r>
        <w:rPr>
          <w:rFonts w:eastAsia="思源黑体" w:ascii="Times New Roman" w:hAnsi="Times New Roman" w:cs="Times New Roman"/>
          <w:i/>
          <w:sz w:val="22"/>
          <w:szCs w:val="22"/>
        </w:rPr>
        <w:t>Do not treat diagnosis as the sole gateway to intervention.</w:t>
      </w:r>
      <w:r>
        <w:rPr>
          <w:rFonts w:eastAsia="思源黑体" w:ascii="Times New Roman" w:hAnsi="Times New Roman" w:cs="Times New Roman"/>
          <w:sz w:val="22"/>
          <w:szCs w:val="22"/>
        </w:rPr>
        <w:t xml:space="preserve"> Support should be offered to children with identified concerns who do not yet meet diagnostic criteria (Lai et al., 2023).</w:t>
      </w:r>
    </w:p>
    <w:p>
      <w:pPr>
        <w:spacing w:after="80" w:line="300" w:lineRule="auto"/>
        <w:ind w:firstLine="440"/>
        <w:jc w:val="both"/>
      </w:pPr>
      <w:r>
        <w:rPr>
          <w:rFonts w:eastAsia="思源黑体" w:ascii="Times New Roman" w:hAnsi="Times New Roman" w:cs="Times New Roman"/>
          <w:sz w:val="22"/>
          <w:szCs w:val="22"/>
        </w:rPr>
        <w:t>At the level of instruments, the multi-informant, multidisciplinary assessment pathway emphasised in the Chinese expert consensus on early diagnosis of autism in young children is consistent with these recommendations and provides a framework for local implementation (Subspecialty Group of Developmental and Behavioral Pediatrics et al., 2022a); the 2026 national guidelines on intervention and rehabilitation further institutionalise follow-up and quality control (National Health Commission, 2026).</w:t>
      </w:r>
    </w:p>
    <w:p>
      <w:pPr>
        <w:pStyle w:val="Heading1"/>
      </w:pPr>
      <w:r>
        <w:rPr>
          <w:rFonts w:eastAsia="思源黑体" w:ascii="Times New Roman" w:hAnsi="Times New Roman" w:cs="Times New Roman"/>
        </w:rPr>
        <w:t>6. Intervention: the weakest evidence and the least to be copied</w:t>
      </w:r>
    </w:p>
    <w:p>
      <w:pPr>
        <w:pStyle w:val="Heading2"/>
      </w:pPr>
      <w:r>
        <w:rPr>
          <w:rFonts w:eastAsia="思源黑体" w:ascii="Times New Roman" w:hAnsi="Times New Roman" w:cs="Times New Roman"/>
        </w:rPr>
        <w:t>6.1 Where the evidence currently stops</w:t>
      </w:r>
    </w:p>
    <w:p>
      <w:pPr>
        <w:spacing w:after="80" w:line="300" w:lineRule="auto"/>
        <w:ind w:firstLine="440"/>
        <w:jc w:val="both"/>
      </w:pPr>
      <w:r>
        <w:rPr>
          <w:rFonts w:eastAsia="思源黑体" w:ascii="Times New Roman" w:hAnsi="Times New Roman" w:cs="Times New Roman"/>
          <w:sz w:val="22"/>
          <w:szCs w:val="22"/>
        </w:rPr>
        <w:t>What can be stated: the family of naturalistic developmental behavioral interventions, including the Early Start Denver Model, Joint Attention Symbolic Play Engagement and Regulation, Pivotal Response Treatment, and parent-mediated formats, is supported for core domains in young autistic children by meta-analytic and network meta-analytic work synthesising 32 randomised trials (Ouyang et al., 2024). No reliable evidence indicates that girls require a separate treatment system. Chinese consensus on family intervention for young children likewise foregrounds the family as the primary setting (Subspecialty Group of Developmental and Behavioral Pediatrics et al., 2022b).</w:t>
      </w:r>
    </w:p>
    <w:p>
      <w:pPr>
        <w:spacing w:after="80" w:line="300" w:lineRule="auto"/>
        <w:ind w:firstLine="440"/>
        <w:jc w:val="both"/>
      </w:pPr>
      <w:r>
        <w:rPr>
          <w:rFonts w:eastAsia="思源黑体" w:ascii="Times New Roman" w:hAnsi="Times New Roman" w:cs="Times New Roman"/>
          <w:sz w:val="22"/>
          <w:szCs w:val="22"/>
        </w:rPr>
        <w:t>What cannot be stated: female samples in virtually all randomised trials are too small to test sex as a moderator, and outcome sets centre on reduction of problem behavior and gains in skills rather than on exhaustion, hours spent camouflaging, identity, or school belonging, endpoints to which girls are more sensitive. The defensible position at present is therefore a common evidence base combined with sex-sensitive goals and contextual adjustments, not a parallel intervention system for girls.</w:t>
      </w:r>
    </w:p>
    <w:p>
      <w:pPr>
        <w:pStyle w:val="Heading2"/>
      </w:pPr>
      <w:r>
        <w:rPr>
          <w:rFonts w:eastAsia="思源黑体" w:ascii="Times New Roman" w:hAnsi="Times New Roman" w:cs="Times New Roman"/>
        </w:rPr>
        <w:t>6.2 Four additions prioritised for girls</w:t>
      </w:r>
    </w:p>
    <w:p>
      <w:pPr>
        <w:spacing w:after="80" w:line="300" w:lineRule="auto"/>
        <w:ind w:firstLine="440"/>
        <w:jc w:val="both"/>
      </w:pPr>
      <w:r>
        <w:rPr>
          <w:rFonts w:eastAsia="思源黑体" w:ascii="Times New Roman" w:hAnsi="Times New Roman" w:cs="Times New Roman"/>
          <w:sz w:val="22"/>
          <w:szCs w:val="22"/>
        </w:rPr>
        <w:t xml:space="preserve">(1) </w:t>
      </w:r>
      <w:r>
        <w:rPr>
          <w:rFonts w:eastAsia="思源黑体" w:ascii="Times New Roman" w:hAnsi="Times New Roman" w:cs="Times New Roman"/>
          <w:i/>
          <w:sz w:val="22"/>
          <w:szCs w:val="22"/>
        </w:rPr>
        <w:t>Interoceptive and emotional recognition training.</w:t>
      </w:r>
      <w:r>
        <w:rPr>
          <w:rFonts w:eastAsia="思源黑体" w:ascii="Times New Roman" w:hAnsi="Times New Roman" w:cs="Times New Roman"/>
          <w:sz w:val="22"/>
          <w:szCs w:val="22"/>
        </w:rPr>
        <w:t xml:space="preserve"> Many girls cannot identify the precursors of their own collapse. Working backwards from bodily sensation to emotion and then to trigger is more fundamental than teaching social rules directly.</w:t>
      </w:r>
    </w:p>
    <w:p>
      <w:pPr>
        <w:spacing w:after="80" w:line="300" w:lineRule="auto"/>
        <w:ind w:firstLine="440"/>
        <w:jc w:val="both"/>
      </w:pPr>
      <w:r>
        <w:rPr>
          <w:rFonts w:eastAsia="思源黑体" w:ascii="Times New Roman" w:hAnsi="Times New Roman" w:cs="Times New Roman"/>
          <w:sz w:val="22"/>
          <w:szCs w:val="22"/>
        </w:rPr>
        <w:t xml:space="preserve">(2) </w:t>
      </w:r>
      <w:r>
        <w:rPr>
          <w:rFonts w:eastAsia="思源黑体" w:ascii="Times New Roman" w:hAnsi="Times New Roman" w:cs="Times New Roman"/>
          <w:i/>
          <w:sz w:val="22"/>
          <w:szCs w:val="22"/>
        </w:rPr>
        <w:t>Permission to unmask, and safe spaces.</w:t>
      </w:r>
      <w:r>
        <w:rPr>
          <w:rFonts w:eastAsia="思源黑体" w:ascii="Times New Roman" w:hAnsi="Times New Roman" w:cs="Times New Roman"/>
          <w:sz w:val="22"/>
          <w:szCs w:val="22"/>
        </w:rPr>
        <w:t xml:space="preserve"> A fixed daily period in which social presence is not required, a quiet corner, explicit permission for stimming, and an explicit message that performing is unnecessary here. Qualitative evidence indicates that camouflaging is lowest in the presence of neurodivergent peers (Goscicki et al., 2026).</w:t>
      </w:r>
    </w:p>
    <w:p>
      <w:pPr>
        <w:spacing w:after="80" w:line="300" w:lineRule="auto"/>
        <w:ind w:firstLine="440"/>
        <w:jc w:val="both"/>
      </w:pPr>
      <w:r>
        <w:rPr>
          <w:rFonts w:eastAsia="思源黑体" w:ascii="Times New Roman" w:hAnsi="Times New Roman" w:cs="Times New Roman"/>
          <w:sz w:val="22"/>
          <w:szCs w:val="22"/>
        </w:rPr>
        <w:t xml:space="preserve">(3) </w:t>
      </w:r>
      <w:r>
        <w:rPr>
          <w:rFonts w:eastAsia="思源黑体" w:ascii="Times New Roman" w:hAnsi="Times New Roman" w:cs="Times New Roman"/>
          <w:i/>
          <w:sz w:val="22"/>
          <w:szCs w:val="22"/>
        </w:rPr>
        <w:t>Adolescence-specific education.</w:t>
      </w:r>
      <w:r>
        <w:rPr>
          <w:rFonts w:eastAsia="思源黑体" w:ascii="Times New Roman" w:hAnsi="Times New Roman" w:cs="Times New Roman"/>
          <w:sz w:val="22"/>
          <w:szCs w:val="22"/>
        </w:rPr>
        <w:t xml:space="preserve"> Menstruation and sensory discomfort, bodily change, consent and boundaries, and safety in online relationships. The combination of eagerness to please, literal interpretation, and difficulty reading context has repeatedly been flagged clinically as elevating victimisation risk, though supporting studies are largely cross-sectional or small, so rates and causal direction remain unestablished; sex education should accordingly be concrete, visual, and rehearsed repeatedly.</w:t>
      </w:r>
    </w:p>
    <w:p>
      <w:pPr>
        <w:spacing w:after="80" w:line="300" w:lineRule="auto"/>
        <w:ind w:firstLine="440"/>
        <w:jc w:val="both"/>
      </w:pPr>
      <w:r>
        <w:rPr>
          <w:rFonts w:eastAsia="思源黑体" w:ascii="Times New Roman" w:hAnsi="Times New Roman" w:cs="Times New Roman"/>
          <w:sz w:val="22"/>
          <w:szCs w:val="22"/>
        </w:rPr>
        <w:t xml:space="preserve">(4) </w:t>
      </w:r>
      <w:r>
        <w:rPr>
          <w:rFonts w:eastAsia="思源黑体" w:ascii="Times New Roman" w:hAnsi="Times New Roman" w:cs="Times New Roman"/>
          <w:i/>
          <w:sz w:val="22"/>
          <w:szCs w:val="22"/>
        </w:rPr>
        <w:t>Parallel, adapted treatment of co-occurring conditions.</w:t>
      </w:r>
      <w:r>
        <w:rPr>
          <w:rFonts w:eastAsia="思源黑体" w:ascii="Times New Roman" w:hAnsi="Times New Roman" w:cs="Times New Roman"/>
          <w:sz w:val="22"/>
          <w:szCs w:val="22"/>
        </w:rPr>
        <w:t xml:space="preserve"> Cognitive behavioral therapy requires adaptation for autism, being made concrete and visual, sparing in metaphor, incorporating special interests, and involving parents. Before selective serotonin reuptake inhibitors are started, personal and family history of mania or hypomania should be assessed; treating the comorbidity while leaving the autism unaddressed is a recurring error.</w:t>
      </w:r>
    </w:p>
    <w:p>
      <w:pPr>
        <w:pStyle w:val="Heading2"/>
      </w:pPr>
      <w:r>
        <w:rPr>
          <w:rFonts w:eastAsia="思源黑体" w:ascii="Times New Roman" w:hAnsi="Times New Roman" w:cs="Times New Roman"/>
        </w:rPr>
        <w:t>6.3 Two neglected priorities for boys</w:t>
      </w:r>
    </w:p>
    <w:p>
      <w:pPr>
        <w:spacing w:after="80" w:line="300" w:lineRule="auto"/>
        <w:ind w:firstLine="440"/>
        <w:jc w:val="both"/>
      </w:pPr>
      <w:r>
        <w:rPr>
          <w:rFonts w:eastAsia="思源黑体" w:ascii="Times New Roman" w:hAnsi="Times New Roman" w:cs="Times New Roman"/>
          <w:sz w:val="22"/>
          <w:szCs w:val="22"/>
        </w:rPr>
        <w:t>First, externalising behavior should prompt functional behavioral assessment rather than disciplinary response, since much apparent non-compliance arises from sensory overload and communication failure. Second, engagement of fathers and male caregivers deserves active support, as disengagement from services is a recurring problem in families of boys.</w:t>
      </w:r>
    </w:p>
    <w:p>
      <w:pPr>
        <w:pStyle w:val="Heading2"/>
      </w:pPr>
      <w:r>
        <w:rPr>
          <w:rFonts w:eastAsia="思源黑体" w:ascii="Times New Roman" w:hAnsi="Times New Roman" w:cs="Times New Roman"/>
        </w:rPr>
        <w:t>6.4 The school setting: lowest cost, highest return</w:t>
      </w:r>
    </w:p>
    <w:p>
      <w:pPr>
        <w:spacing w:after="80" w:line="300" w:lineRule="auto"/>
        <w:ind w:firstLine="440"/>
        <w:jc w:val="both"/>
      </w:pPr>
      <w:r>
        <w:rPr>
          <w:rFonts w:eastAsia="思源黑体" w:ascii="Times New Roman" w:hAnsi="Times New Roman" w:cs="Times New Roman"/>
          <w:sz w:val="22"/>
          <w:szCs w:val="22"/>
        </w:rPr>
        <w:t>Teacher training should cover female presentations and the recognition of subtle distress signals, and should make explicit that shutdown is not defiance and meltdown is not a temper tantrum. Individualised education plans should record a personalised list of early warning signals, a response protocol, and reasonable adjustments such as permission to leave a room early or alternative modes of participation. Because bullying experienced by girls is more often relational and covert, it requires monitoring separately from conventional anti-bullying metrics; evidence for these school-based practices comes largely from programme evaluations and quasi-experimental work rather than controlled trials. Small-group models for girls built around conversation skills, self-care, community activities, and peer volunteering are suitable for local piloting in resource rooms for inclusive education, with evaluation built in from the start.</w:t>
      </w:r>
    </w:p>
    <w:p>
      <w:pPr>
        <w:pStyle w:val="Heading1"/>
      </w:pPr>
      <w:r>
        <w:rPr>
          <w:rFonts w:eastAsia="思源黑体" w:ascii="Times New Roman" w:hAnsi="Times New Roman" w:cs="Times New Roman"/>
        </w:rPr>
        <w:t>7. Clinical vignettes</w:t>
      </w:r>
    </w:p>
    <w:p>
      <w:pPr>
        <w:spacing w:after="80" w:line="300" w:lineRule="auto"/>
        <w:ind w:firstLine="440"/>
        <w:jc w:val="both"/>
      </w:pPr>
      <w:r>
        <w:rPr>
          <w:rFonts w:eastAsia="思源黑体" w:ascii="Times New Roman" w:hAnsi="Times New Roman" w:cs="Times New Roman"/>
          <w:sz w:val="22"/>
          <w:szCs w:val="22"/>
        </w:rPr>
        <w:t>The three vignettes below are de-identified reconstructions presented to illustrate mechanism; they are not research data and are not cited in the reference list.</w:t>
      </w:r>
    </w:p>
    <w:p>
      <w:pPr>
        <w:spacing w:after="80" w:line="300" w:lineRule="auto"/>
        <w:ind w:firstLine="440"/>
        <w:jc w:val="both"/>
      </w:pPr>
      <w:r>
        <w:rPr>
          <w:rFonts w:eastAsia="思源黑体" w:ascii="Times New Roman" w:hAnsi="Times New Roman" w:cs="Times New Roman"/>
          <w:i/>
          <w:sz w:val="22"/>
          <w:szCs w:val="22"/>
        </w:rPr>
        <w:t>Vignette A: the late peak.</w:t>
      </w:r>
      <w:r>
        <w:rPr>
          <w:rFonts w:eastAsia="思源黑体" w:ascii="Times New Roman" w:hAnsi="Times New Roman" w:cs="Times New Roman"/>
          <w:sz w:val="22"/>
          <w:szCs w:val="22"/>
        </w:rPr>
        <w:t xml:space="preserve"> A girl who did not respond to her name, did not speak, and showed no attachment in her second year, who did not play with peers at kindergarten and ate with her hands, was explained within the family as late talking and as an introvert. She was assessed only after a teacher pressed strongly, by which time language, cognition, and social functioning were all substantially delayed. The point: parental concern existed in infancy. First-stage screening should ask directly whether anything feels wrong and should record parental intuition in the record rather than letting a questionnaire score decide whether a child proceeds.</w:t>
      </w:r>
    </w:p>
    <w:p>
      <w:pPr>
        <w:spacing w:after="80" w:line="300" w:lineRule="auto"/>
        <w:ind w:firstLine="440"/>
        <w:jc w:val="both"/>
      </w:pPr>
      <w:r>
        <w:rPr>
          <w:rFonts w:eastAsia="思源黑体" w:ascii="Times New Roman" w:hAnsi="Times New Roman" w:cs="Times New Roman"/>
          <w:i/>
          <w:sz w:val="22"/>
          <w:szCs w:val="22"/>
        </w:rPr>
        <w:t>Vignette B: overshadowing by comorbidity.</w:t>
      </w:r>
      <w:r>
        <w:rPr>
          <w:rFonts w:eastAsia="思源黑体" w:ascii="Times New Roman" w:hAnsi="Times New Roman" w:cs="Times New Roman"/>
          <w:sz w:val="22"/>
          <w:szCs w:val="22"/>
        </w:rPr>
        <w:t xml:space="preserve"> A high-achieving girl with no friends, extremely narrow eating, rigid rule-following, literal interpretation of jokes, and a habit of correcting others' word choices was long regarded as simply having a difficult personality. After being isolated at secondary school she refused to attend and was diagnosed with an emotional disorder; medication precipitated a hypomanic reaction. The point: any adolescent girl presenting with school refusal, emotional disorder, or eating problems requires retrospective enquiry into interest patterns, literal interpretation, and sensory and ritualised behavior, and any prescription should be preceded by a personal and family history of mania.</w:t>
      </w:r>
    </w:p>
    <w:p>
      <w:pPr>
        <w:spacing w:after="80" w:line="300" w:lineRule="auto"/>
        <w:ind w:firstLine="440"/>
        <w:jc w:val="both"/>
      </w:pPr>
      <w:r>
        <w:rPr>
          <w:rFonts w:eastAsia="思源黑体" w:ascii="Times New Roman" w:hAnsi="Times New Roman" w:cs="Times New Roman"/>
          <w:i/>
          <w:sz w:val="22"/>
          <w:szCs w:val="22"/>
        </w:rPr>
        <w:t>Vignette C: selective mutism as a sentinel.</w:t>
      </w:r>
      <w:r>
        <w:rPr>
          <w:rFonts w:eastAsia="思源黑体" w:ascii="Times New Roman" w:hAnsi="Times New Roman" w:cs="Times New Roman"/>
          <w:sz w:val="22"/>
          <w:szCs w:val="22"/>
        </w:rPr>
        <w:t xml:space="preserve"> Nagar Shimoni et al. (2025) reported several girls of normal intelligence first diagnosed with selective mutism in the preschool years and later diagnosed with ASD by a multidisciplinary team. The point: in girls, selective mutism may be among the earliest recognisable forms of ASD and is worth treating as a trigger for retrospective enquiry.</w:t>
      </w:r>
    </w:p>
    <w:p>
      <w:pPr>
        <w:pStyle w:val="Heading1"/>
      </w:pPr>
      <w:r>
        <w:rPr>
          <w:rFonts w:eastAsia="思源黑体" w:ascii="Times New Roman" w:hAnsi="Times New Roman" w:cs="Times New Roman"/>
        </w:rPr>
        <w:t>8. Limitations and open questions</w:t>
      </w:r>
    </w:p>
    <w:p>
      <w:pPr>
        <w:spacing w:after="80" w:line="300" w:lineRule="auto"/>
        <w:ind w:firstLine="440"/>
        <w:jc w:val="both"/>
      </w:pPr>
      <w:r>
        <w:rPr>
          <w:rFonts w:eastAsia="思源黑体" w:ascii="Times New Roman" w:hAnsi="Times New Roman" w:cs="Times New Roman"/>
          <w:sz w:val="22"/>
          <w:szCs w:val="22"/>
        </w:rPr>
        <w:t>First, the explanatory scope of the female protective effect has narrowed. Koko et al. (2025), analysing exomes from 47,061 autistic individuals, found no significant sex difference in the effect of autosomal rare and de novo variants on liability. The defensible formulation is therefore that if a female protective effect exists, its mechanism does not lie in autosomal rare variant burden. It could at most explain why fewer girls are affected; it cannot explain why affected girls are diagnosed late, which is a service system problem that need not wait on a biological verdict.</w:t>
      </w:r>
    </w:p>
    <w:p>
      <w:pPr>
        <w:spacing w:after="80" w:line="300" w:lineRule="auto"/>
        <w:ind w:firstLine="440"/>
        <w:jc w:val="both"/>
      </w:pPr>
      <w:r>
        <w:rPr>
          <w:rFonts w:eastAsia="思源黑体" w:ascii="Times New Roman" w:hAnsi="Times New Roman" w:cs="Times New Roman"/>
          <w:sz w:val="22"/>
          <w:szCs w:val="22"/>
        </w:rPr>
        <w:t>Second, the measurement of camouflaging is not yet sound enough for individual decisions. Its factor structure is unstable below age 15, self-report is shaped by insight, observer ratings are contaminated by camouflaging itself, and age moderates group comparisons (Cancino-Barros et al., 2025). Multiple informants combined with ecological momentary assessment are preferable to questionnaire-based grouping.</w:t>
      </w:r>
    </w:p>
    <w:p>
      <w:pPr>
        <w:spacing w:after="80" w:line="300" w:lineRule="auto"/>
        <w:ind w:firstLine="440"/>
        <w:jc w:val="both"/>
      </w:pPr>
      <w:r>
        <w:rPr>
          <w:rFonts w:eastAsia="思源黑体" w:ascii="Times New Roman" w:hAnsi="Times New Roman" w:cs="Times New Roman"/>
          <w:sz w:val="22"/>
          <w:szCs w:val="22"/>
        </w:rPr>
        <w:t>Third, bias in screening instruments is structural rather than fully remediable by training. Burrows and Zheng (2024) argue explicitly that clinician training while using poorly performing measures can only go so far, and that the instruments themselves require correction for sex-related measurement bias.</w:t>
      </w:r>
    </w:p>
    <w:p>
      <w:pPr>
        <w:spacing w:after="80" w:line="300" w:lineRule="auto"/>
        <w:ind w:firstLine="440"/>
        <w:jc w:val="both"/>
      </w:pPr>
      <w:r>
        <w:rPr>
          <w:rFonts w:eastAsia="思源黑体" w:ascii="Times New Roman" w:hAnsi="Times New Roman" w:cs="Times New Roman"/>
          <w:sz w:val="22"/>
          <w:szCs w:val="22"/>
        </w:rPr>
        <w:t>Fourth, culture is a plausible but untested moderator. Norms that girls should be quiet, compliant, and obedient are stronger in East Asian settings and may amplify both camouflaging and under-identification, but direct comparative evidence is lacking and the claim is advanced here as a hypothesis rather than a finding. Correspondingly, unmasking should not be interpreted as encouraging a child to be unfiltered everywhere, but as teaching situational choice.</w:t>
      </w:r>
    </w:p>
    <w:p>
      <w:pPr>
        <w:spacing w:after="80" w:line="300" w:lineRule="auto"/>
        <w:ind w:firstLine="440"/>
        <w:jc w:val="both"/>
      </w:pPr>
      <w:r>
        <w:rPr>
          <w:rFonts w:eastAsia="思源黑体" w:ascii="Times New Roman" w:hAnsi="Times New Roman" w:cs="Times New Roman"/>
          <w:sz w:val="22"/>
          <w:szCs w:val="22"/>
        </w:rPr>
        <w:t>Fifth, this review has its own limits. It is narrative rather than systematic, with no quality appraisal or meta-analysis; Chinese-language sources are predominantly consensus statements and narrative reviews, with few high-quality local cohorts; sex-stratified evidence at the intervention stage is almost absent; and gender is rarely measured at all. Priority directions for research are randomised trials with adequate female samples, longitudinal work with exhaustion and camouflaging cost as endpoints, tests of differential item functioning in locally adapted instruments, and routine monitoring of age at diagnosis and waiting time disaggregated by sex.</w:t>
      </w:r>
    </w:p>
    <w:p>
      <w:pPr>
        <w:pStyle w:val="Heading1"/>
      </w:pPr>
      <w:r>
        <w:rPr>
          <w:rFonts w:eastAsia="思源黑体" w:ascii="Times New Roman" w:hAnsi="Times New Roman" w:cs="Times New Roman"/>
        </w:rPr>
        <w:t>9. Conclusions</w:t>
      </w:r>
    </w:p>
    <w:p>
      <w:pPr>
        <w:spacing w:after="80" w:line="300" w:lineRule="auto"/>
        <w:ind w:firstLine="440"/>
        <w:jc w:val="both"/>
      </w:pPr>
      <w:r>
        <w:rPr>
          <w:rFonts w:eastAsia="思源黑体" w:ascii="Times New Roman" w:hAnsi="Times New Roman" w:cs="Times New Roman"/>
          <w:sz w:val="22"/>
          <w:szCs w:val="22"/>
        </w:rPr>
        <w:t>Recent evidence converges on a single conclusion. Sex differences in ASD are concentrated in identification and assessment, and their principal mechanisms are measurement bias, diagnostic overshadowing, and delayed developmental visibility rather than a large divergence in core presentation during toddlerhood. Nazari et al. (2025), analysing 2,618 toddlers with a mean age of approximately 27 months, found no significant sex differences among autistic children on 17 of 18 measures. Burrows et al. (2025) and Guthrie et al. (2019) locate the bias at points where it can be quantified directly: differential item functioning on the Autism Diagnostic Observation Schedule, and a positive predictive value on the M-CHAT/F that is less than half as high in children assigned female at birth.</w:t>
      </w:r>
    </w:p>
    <w:p>
      <w:pPr>
        <w:spacing w:after="80" w:line="300" w:lineRule="auto"/>
        <w:ind w:firstLine="440"/>
        <w:jc w:val="both"/>
      </w:pPr>
      <w:r>
        <w:rPr>
          <w:rFonts w:eastAsia="思源黑体" w:ascii="Times New Roman" w:hAnsi="Times New Roman" w:cs="Times New Roman"/>
          <w:sz w:val="22"/>
          <w:szCs w:val="22"/>
        </w:rPr>
        <w:t>Priorities for investment should accordingly shift. Rather than continuing to search for a female-specific phenotype, services should re-screen children who screen negative, establish comorbidity-triggered retrospective assessment, extend the assessment window into school age and adolescence, and decouple access to intervention from diagnostic confirmation. At the intervention stage, established approaches appear effective in both sexes; the real gap lies in outcome measurement. Only when exhaustion, the cost of camouflaging, recovery time, and alternative forms of expression are written into goal systems will sex-sensitive intervention have genuinely arrived.</w:t>
      </w:r>
    </w:p>
    <w:p>
      <w:pPr>
        <w:pStyle w:val="Heading1"/>
      </w:pPr>
      <w:r>
        <w:rPr>
          <w:rFonts w:eastAsia="思源黑体" w:ascii="Times New Roman" w:hAnsi="Times New Roman" w:cs="Times New Roman"/>
        </w:rPr>
        <w:t>References</w:t>
      </w:r>
    </w:p>
    <w:p>
      <w:pPr>
        <w:spacing w:after="60" w:line="276" w:lineRule="auto"/>
        <w:ind w:left="480" w:hanging="480"/>
      </w:pPr>
      <w:r>
        <w:rPr>
          <w:rFonts w:eastAsia="思源黑体" w:ascii="Times New Roman" w:hAnsi="Times New Roman" w:cs="Times New Roman"/>
          <w:sz w:val="21.0"/>
          <w:szCs w:val="21.0"/>
        </w:rPr>
        <w:t xml:space="preserve">Burrows, C. A., Grzadzinski, R. L., Donovan, K., Stallworthy, I. C., Rutsohn, J., St. John, T., Marrus, N., Parish-Morris, J., MacIntyre, L., Hampton, J., Pandey, J., Shen, M. D., Botteron, K. N., Estes, A. M., Dager, S. R., Hazlett, H. C., Pruett, J. R., Jr., Schultz, R. T., Zwaigenbaum, L., Truong, K. N., Piven, J., &amp; Elison, J. T., &amp; the IBIS Network. (2022). A data-driven approach in an unbiased sample reveals equivalent sex ratio of autism spectrum disorder–associated impairment in early childhood. </w:t>
      </w:r>
      <w:r>
        <w:rPr>
          <w:rFonts w:eastAsia="思源黑体" w:ascii="Times New Roman" w:hAnsi="Times New Roman" w:cs="Times New Roman"/>
          <w:i/>
          <w:sz w:val="21.0"/>
          <w:szCs w:val="21.0"/>
        </w:rPr>
        <w:t>Biological Psychiatry, 92</w:t>
      </w:r>
      <w:r>
        <w:rPr>
          <w:rFonts w:eastAsia="思源黑体" w:ascii="Times New Roman" w:hAnsi="Times New Roman" w:cs="Times New Roman"/>
          <w:sz w:val="21.0"/>
          <w:szCs w:val="21.0"/>
        </w:rPr>
        <w:t>(8), 654–662. https://doi.org/10.1016/j.biopsych.2022.05.027</w:t>
      </w:r>
    </w:p>
    <w:p>
      <w:pPr>
        <w:spacing w:after="60" w:line="276" w:lineRule="auto"/>
        <w:ind w:left="480" w:hanging="480"/>
      </w:pPr>
      <w:r>
        <w:rPr>
          <w:rFonts w:eastAsia="思源黑体" w:ascii="Times New Roman" w:hAnsi="Times New Roman" w:cs="Times New Roman"/>
          <w:sz w:val="21.0"/>
          <w:szCs w:val="21.0"/>
        </w:rPr>
        <w:t xml:space="preserve">Burrows, C. A., &amp; Zheng, S. (2024). Better measures needed to mitigate sex bias in autism identification [Letter to the editor]. </w:t>
      </w:r>
      <w:r>
        <w:rPr>
          <w:rFonts w:eastAsia="思源黑体" w:ascii="Times New Roman" w:hAnsi="Times New Roman" w:cs="Times New Roman"/>
          <w:i/>
          <w:sz w:val="21.0"/>
          <w:szCs w:val="21.0"/>
        </w:rPr>
        <w:t>The Lancet Child &amp; Adolescent Health, 8</w:t>
      </w:r>
      <w:r>
        <w:rPr>
          <w:rFonts w:eastAsia="思源黑体" w:ascii="Times New Roman" w:hAnsi="Times New Roman" w:cs="Times New Roman"/>
          <w:sz w:val="21.0"/>
          <w:szCs w:val="21.0"/>
        </w:rPr>
        <w:t>(3), e5. https://doi.org/10.1016/S2352-4642(23)00344-9</w:t>
      </w:r>
    </w:p>
    <w:p>
      <w:pPr>
        <w:spacing w:after="60" w:line="276" w:lineRule="auto"/>
        <w:ind w:left="480" w:hanging="480"/>
      </w:pPr>
      <w:r>
        <w:rPr>
          <w:rFonts w:eastAsia="思源黑体" w:ascii="Times New Roman" w:hAnsi="Times New Roman" w:cs="Times New Roman"/>
          <w:sz w:val="21.0"/>
          <w:szCs w:val="21.0"/>
        </w:rPr>
        <w:t xml:space="preserve">Burrows, C. A., Sung, S., Zheng, S., Young, G. S., Charman, T., Klaiman, C., Klin, A., Marrus, N., Ozonoff, S., Piven, J., Robins, D. L., Schmidt, R. J., Schwichtenberg, A. J., Webb, S. J., Zwaigenbaum, L., Carver, L. J., Chawarska, K., Curtin, S., Jeste, S. S., … Elison, J. T. (2025). Sex-related measurement bias in autism spectrum disorder symptoms in the Baby Siblings Research Consortium. </w:t>
      </w:r>
      <w:r>
        <w:rPr>
          <w:rFonts w:eastAsia="思源黑体" w:ascii="Times New Roman" w:hAnsi="Times New Roman" w:cs="Times New Roman"/>
          <w:i/>
          <w:sz w:val="21.0"/>
          <w:szCs w:val="21.0"/>
        </w:rPr>
        <w:t>JAMA Network Open, 8</w:t>
      </w:r>
      <w:r>
        <w:rPr>
          <w:rFonts w:eastAsia="思源黑体" w:ascii="Times New Roman" w:hAnsi="Times New Roman" w:cs="Times New Roman"/>
          <w:sz w:val="21.0"/>
          <w:szCs w:val="21.0"/>
        </w:rPr>
        <w:t>(8), e2525887. https://doi.org/10.1001/jamanetworkopen.2025.25887</w:t>
      </w:r>
    </w:p>
    <w:p>
      <w:pPr>
        <w:spacing w:after="60" w:line="276" w:lineRule="auto"/>
        <w:ind w:left="480" w:hanging="480"/>
      </w:pPr>
      <w:r>
        <w:rPr>
          <w:rFonts w:eastAsia="思源黑体" w:ascii="Times New Roman" w:hAnsi="Times New Roman" w:cs="Times New Roman"/>
          <w:sz w:val="21.0"/>
          <w:szCs w:val="21.0"/>
        </w:rPr>
        <w:t xml:space="preserve">Cancino-Barros, I., Villacura-Herrera, C., &amp; Castillo, R. D. (2025). A meta-analytic review of quantification methods for camouflaging behaviors in autistic and neurotypical individuals. </w:t>
      </w:r>
      <w:r>
        <w:rPr>
          <w:rFonts w:eastAsia="思源黑体" w:ascii="Times New Roman" w:hAnsi="Times New Roman" w:cs="Times New Roman"/>
          <w:i/>
          <w:sz w:val="21.0"/>
          <w:szCs w:val="21.0"/>
        </w:rPr>
        <w:t>Scientific Reports, 15</w:t>
      </w:r>
      <w:r>
        <w:rPr>
          <w:rFonts w:eastAsia="思源黑体" w:ascii="Times New Roman" w:hAnsi="Times New Roman" w:cs="Times New Roman"/>
          <w:sz w:val="21.0"/>
          <w:szCs w:val="21.0"/>
        </w:rPr>
        <w:t>, Article 22885. https://doi.org/10.1038/s41598-025-06137-z</w:t>
      </w:r>
    </w:p>
    <w:p>
      <w:pPr>
        <w:spacing w:after="60" w:line="276" w:lineRule="auto"/>
        <w:ind w:left="480" w:hanging="480"/>
      </w:pPr>
      <w:r>
        <w:rPr>
          <w:rFonts w:eastAsia="思源黑体" w:ascii="Times New Roman" w:hAnsi="Times New Roman" w:cs="Times New Roman"/>
          <w:sz w:val="21.0"/>
          <w:szCs w:val="21.0"/>
        </w:rPr>
        <w:t xml:space="preserve">Chen, Y.-J., Frazier, T. W., Szatmari, P., Duku, E., Richard, A. E., Smith, I. M., Zwaigenbaum, L., Bedford, R., Kerns, C. M., Zaidman-Zait, A., Bennett, T., Elsabbagh, M., Vaillancourt, T., &amp; Georgiades, S. (2025). Sex-differential trajectories of domain-specific associations between autistic traits and co-occurring emotional-behavioral concerns in autistic children. </w:t>
      </w:r>
      <w:r>
        <w:rPr>
          <w:rFonts w:eastAsia="思源黑体" w:ascii="Times New Roman" w:hAnsi="Times New Roman" w:cs="Times New Roman"/>
          <w:i/>
          <w:sz w:val="21.0"/>
          <w:szCs w:val="21.0"/>
        </w:rPr>
        <w:t>Autism Research, 18</w:t>
      </w:r>
      <w:r>
        <w:rPr>
          <w:rFonts w:eastAsia="思源黑体" w:ascii="Times New Roman" w:hAnsi="Times New Roman" w:cs="Times New Roman"/>
          <w:sz w:val="21.0"/>
          <w:szCs w:val="21.0"/>
        </w:rPr>
        <w:t>(4), 820–832. https://doi.org/10.1002/aur.70018</w:t>
      </w:r>
    </w:p>
    <w:p>
      <w:pPr>
        <w:spacing w:after="60" w:line="276" w:lineRule="auto"/>
        <w:ind w:left="480" w:hanging="480"/>
      </w:pPr>
      <w:r>
        <w:rPr>
          <w:rFonts w:eastAsia="思源黑体" w:ascii="Times New Roman" w:hAnsi="Times New Roman" w:cs="Times New Roman"/>
          <w:sz w:val="21.0"/>
          <w:szCs w:val="21.0"/>
        </w:rPr>
        <w:t xml:space="preserve">Cook, J., Hull, L., &amp; Mandy, W. (2024). Improving diagnostic procedures in autism for girls and women: A narrative review. </w:t>
      </w:r>
      <w:r>
        <w:rPr>
          <w:rFonts w:eastAsia="思源黑体" w:ascii="Times New Roman" w:hAnsi="Times New Roman" w:cs="Times New Roman"/>
          <w:i/>
          <w:sz w:val="21.0"/>
          <w:szCs w:val="21.0"/>
        </w:rPr>
        <w:t>Neuropsychiatric Disease and Treatment, 20</w:t>
      </w:r>
      <w:r>
        <w:rPr>
          <w:rFonts w:eastAsia="思源黑体" w:ascii="Times New Roman" w:hAnsi="Times New Roman" w:cs="Times New Roman"/>
          <w:sz w:val="21.0"/>
          <w:szCs w:val="21.0"/>
        </w:rPr>
        <w:t>, 505–514.</w:t>
      </w:r>
    </w:p>
    <w:p>
      <w:pPr>
        <w:spacing w:after="60" w:line="276" w:lineRule="auto"/>
        <w:ind w:left="480" w:hanging="480"/>
      </w:pPr>
      <w:r>
        <w:rPr>
          <w:rFonts w:eastAsia="思源黑体" w:ascii="Times New Roman" w:hAnsi="Times New Roman" w:cs="Times New Roman"/>
          <w:sz w:val="21.0"/>
          <w:szCs w:val="21.0"/>
        </w:rPr>
        <w:t xml:space="preserve">Fyfe, C., Winell, H., Dougherty, J., Gutmann, D. H., Kolevzon, A., Marrus, N., Tedroff, K., Turner, T. N., Weiss, L. A., Yip, B. H. K., Yin, W., &amp; Sandin, S. (2026). Time trends in the male to female ratio for autism incidence: Population based, prospectively collected, birth cohort study. </w:t>
      </w:r>
      <w:r>
        <w:rPr>
          <w:rFonts w:eastAsia="思源黑体" w:ascii="Times New Roman" w:hAnsi="Times New Roman" w:cs="Times New Roman"/>
          <w:i/>
          <w:sz w:val="21.0"/>
          <w:szCs w:val="21.0"/>
        </w:rPr>
        <w:t>BMJ, 392</w:t>
      </w:r>
      <w:r>
        <w:rPr>
          <w:rFonts w:eastAsia="思源黑体" w:ascii="Times New Roman" w:hAnsi="Times New Roman" w:cs="Times New Roman"/>
          <w:sz w:val="21.0"/>
          <w:szCs w:val="21.0"/>
        </w:rPr>
        <w:t>, Article e084164. https://doi.org/10.1136/bmj-2025-084164</w:t>
      </w:r>
    </w:p>
    <w:p>
      <w:pPr>
        <w:spacing w:after="60" w:line="276" w:lineRule="auto"/>
        <w:ind w:left="480" w:hanging="480"/>
      </w:pPr>
      <w:r>
        <w:rPr>
          <w:rFonts w:eastAsia="思源黑体" w:ascii="Times New Roman" w:hAnsi="Times New Roman" w:cs="Times New Roman"/>
          <w:sz w:val="21.0"/>
          <w:szCs w:val="21.0"/>
        </w:rPr>
        <w:t xml:space="preserve">Goscicki, B. L., Scoggins, M. E., Herrera Espinosa, G., &amp; Hodapp, R. M. (2026). “A round, bruising sort of pain”: Autistic girls’ social camouflaging in inclusive high school settings. </w:t>
      </w:r>
      <w:r>
        <w:rPr>
          <w:rFonts w:eastAsia="思源黑体" w:ascii="Times New Roman" w:hAnsi="Times New Roman" w:cs="Times New Roman"/>
          <w:i/>
          <w:sz w:val="21.0"/>
          <w:szCs w:val="21.0"/>
        </w:rPr>
        <w:t>Journal of Autism and Developmental Disorders, 56</w:t>
      </w:r>
      <w:r>
        <w:rPr>
          <w:rFonts w:eastAsia="思源黑体" w:ascii="Times New Roman" w:hAnsi="Times New Roman" w:cs="Times New Roman"/>
          <w:sz w:val="21.0"/>
          <w:szCs w:val="21.0"/>
        </w:rPr>
        <w:t>, 2282–2295. https://doi.org/10.1007/s10803-024-06716-5</w:t>
      </w:r>
    </w:p>
    <w:p>
      <w:pPr>
        <w:spacing w:after="60" w:line="276" w:lineRule="auto"/>
        <w:ind w:left="480" w:hanging="480"/>
      </w:pPr>
      <w:r>
        <w:rPr>
          <w:rFonts w:eastAsia="思源黑体" w:ascii="Times New Roman" w:hAnsi="Times New Roman" w:cs="Times New Roman"/>
          <w:sz w:val="21.0"/>
          <w:szCs w:val="21.0"/>
        </w:rPr>
        <w:t xml:space="preserve">Gu, Z., Dawson, G., &amp; Engelhard, M. M. (2023). Sex differences in the age of childhood autism diagnosis and the impact of co-occurring conditions. </w:t>
      </w:r>
      <w:r>
        <w:rPr>
          <w:rFonts w:eastAsia="思源黑体" w:ascii="Times New Roman" w:hAnsi="Times New Roman" w:cs="Times New Roman"/>
          <w:i/>
          <w:sz w:val="21.0"/>
          <w:szCs w:val="21.0"/>
        </w:rPr>
        <w:t>Autism Research, 16</w:t>
      </w:r>
      <w:r>
        <w:rPr>
          <w:rFonts w:eastAsia="思源黑体" w:ascii="Times New Roman" w:hAnsi="Times New Roman" w:cs="Times New Roman"/>
          <w:sz w:val="21.0"/>
          <w:szCs w:val="21.0"/>
        </w:rPr>
        <w:t>(12), 2391–2402. https://doi.org/10.1002/aur.3043</w:t>
      </w:r>
    </w:p>
    <w:p>
      <w:pPr>
        <w:spacing w:after="60" w:line="276" w:lineRule="auto"/>
        <w:ind w:left="480" w:hanging="480"/>
      </w:pPr>
      <w:r>
        <w:rPr>
          <w:rFonts w:eastAsia="思源黑体" w:ascii="Times New Roman" w:hAnsi="Times New Roman" w:cs="Times New Roman"/>
          <w:sz w:val="21.0"/>
          <w:szCs w:val="21.0"/>
        </w:rPr>
        <w:t xml:space="preserve">Guthrie, W., Wallis, K., Bennett, A., Brooks, E., Dudley, J., Gerdes, M., Pandey, J., Levy, S. E., Schultz, R. T., &amp; Miller, J. S. (2019). Accuracy of autism screening in a large pediatric network. </w:t>
      </w:r>
      <w:r>
        <w:rPr>
          <w:rFonts w:eastAsia="思源黑体" w:ascii="Times New Roman" w:hAnsi="Times New Roman" w:cs="Times New Roman"/>
          <w:i/>
          <w:sz w:val="21.0"/>
          <w:szCs w:val="21.0"/>
        </w:rPr>
        <w:t>Pediatrics, 144</w:t>
      </w:r>
      <w:r>
        <w:rPr>
          <w:rFonts w:eastAsia="思源黑体" w:ascii="Times New Roman" w:hAnsi="Times New Roman" w:cs="Times New Roman"/>
          <w:sz w:val="21.0"/>
          <w:szCs w:val="21.0"/>
        </w:rPr>
        <w:t>(4), Article e20183963. https://doi.org/10.1542/peds.2018-3963</w:t>
      </w:r>
    </w:p>
    <w:p>
      <w:pPr>
        <w:spacing w:after="60" w:line="276" w:lineRule="auto"/>
        <w:ind w:left="480" w:hanging="480"/>
      </w:pPr>
      <w:r>
        <w:rPr>
          <w:rFonts w:eastAsia="思源黑体" w:ascii="Times New Roman" w:hAnsi="Times New Roman" w:cs="Times New Roman"/>
          <w:sz w:val="21.0"/>
          <w:szCs w:val="21.0"/>
        </w:rPr>
        <w:t xml:space="preserve">Hou, Y., Huang, W., Lin, L., Li, X., Dai, S., Shen, Y., &amp; Ou, J. (2025). Patterns and stability of repetitive and restricted behaviors in Chinese children with autism: A 1–3 year follow-up study. </w:t>
      </w:r>
      <w:r>
        <w:rPr>
          <w:rFonts w:eastAsia="思源黑体" w:ascii="Times New Roman" w:hAnsi="Times New Roman" w:cs="Times New Roman"/>
          <w:i/>
          <w:sz w:val="21.0"/>
          <w:szCs w:val="21.0"/>
        </w:rPr>
        <w:t>Autism Research, 18</w:t>
      </w:r>
      <w:r>
        <w:rPr>
          <w:rFonts w:eastAsia="思源黑体" w:ascii="Times New Roman" w:hAnsi="Times New Roman" w:cs="Times New Roman"/>
          <w:sz w:val="21.0"/>
          <w:szCs w:val="21.0"/>
        </w:rPr>
        <w:t>(12), 2409–2418. https://doi.org/10.1002/aur.70130</w:t>
      </w:r>
    </w:p>
    <w:p>
      <w:pPr>
        <w:spacing w:after="60" w:line="276" w:lineRule="auto"/>
        <w:ind w:left="480" w:hanging="480"/>
      </w:pPr>
      <w:r>
        <w:rPr>
          <w:rFonts w:eastAsia="思源黑体" w:ascii="Times New Roman" w:hAnsi="Times New Roman" w:cs="Times New Roman"/>
          <w:sz w:val="21.0"/>
          <w:szCs w:val="21.0"/>
        </w:rPr>
        <w:t xml:space="preserve">Hull, L., Mandy, W., Lai, M.-C., Baron-Cohen, S., Allison, C., Smith, P., &amp; Petrides, K. V. (2019). Development and validation of the Camouflaging Autistic Traits Questionnaire (CAT-Q). </w:t>
      </w:r>
      <w:r>
        <w:rPr>
          <w:rFonts w:eastAsia="思源黑体" w:ascii="Times New Roman" w:hAnsi="Times New Roman" w:cs="Times New Roman"/>
          <w:i/>
          <w:sz w:val="21.0"/>
          <w:szCs w:val="21.0"/>
        </w:rPr>
        <w:t>Journal of Autism and Developmental Disorders, 49</w:t>
      </w:r>
      <w:r>
        <w:rPr>
          <w:rFonts w:eastAsia="思源黑体" w:ascii="Times New Roman" w:hAnsi="Times New Roman" w:cs="Times New Roman"/>
          <w:sz w:val="21.0"/>
          <w:szCs w:val="21.0"/>
        </w:rPr>
        <w:t>(3), 819–833.</w:t>
      </w:r>
    </w:p>
    <w:p>
      <w:pPr>
        <w:spacing w:after="60" w:line="276" w:lineRule="auto"/>
        <w:ind w:left="480" w:hanging="480"/>
      </w:pPr>
      <w:r>
        <w:rPr>
          <w:rFonts w:eastAsia="思源黑体" w:ascii="Times New Roman" w:hAnsi="Times New Roman" w:cs="Times New Roman"/>
          <w:sz w:val="21.0"/>
          <w:szCs w:val="21.0"/>
        </w:rPr>
        <w:t xml:space="preserve">Koko, M., Satterstrom, F. K., Autism Sequencing Consortium, APEX Consortium, Warrier, V., &amp; Martin, H. (2025). Contribution of autosomal rare and de novo variants to sex differences in autism. </w:t>
      </w:r>
      <w:r>
        <w:rPr>
          <w:rFonts w:eastAsia="思源黑体" w:ascii="Times New Roman" w:hAnsi="Times New Roman" w:cs="Times New Roman"/>
          <w:i/>
          <w:sz w:val="21.0"/>
          <w:szCs w:val="21.0"/>
        </w:rPr>
        <w:t>American Journal of Human Genetics, 112</w:t>
      </w:r>
      <w:r>
        <w:rPr>
          <w:rFonts w:eastAsia="思源黑体" w:ascii="Times New Roman" w:hAnsi="Times New Roman" w:cs="Times New Roman"/>
          <w:sz w:val="21.0"/>
          <w:szCs w:val="21.0"/>
        </w:rPr>
        <w:t>(3), 599–614. https://doi.org/10.1016/j.ajhg.2025.01.016</w:t>
      </w:r>
    </w:p>
    <w:p>
      <w:pPr>
        <w:spacing w:after="60" w:line="276" w:lineRule="auto"/>
        <w:ind w:left="480" w:hanging="480"/>
      </w:pPr>
      <w:r>
        <w:rPr>
          <w:rFonts w:eastAsia="思源黑体" w:ascii="Times New Roman" w:hAnsi="Times New Roman" w:cs="Times New Roman"/>
          <w:sz w:val="21.0"/>
          <w:szCs w:val="21.0"/>
        </w:rPr>
        <w:t xml:space="preserve">Lai, M.-C., Amestoy, A., Bishop, S., Brown, H. M., Giwa Onaiwu, M., Halladay, A., Harrop, C., Hotez, E., Huerta, M., Kelly, A., Miller, D., Nordahl, C. W., Ratto, A. B., Saulnier, C., Siper, P. M., Sohl, K., Zwaigenbaum, L., &amp; Goldman, S. (2023). Improving autism identification and support for individuals assigned female at birth: Clinical suggestions and research priorities. </w:t>
      </w:r>
      <w:r>
        <w:rPr>
          <w:rFonts w:eastAsia="思源黑体" w:ascii="Times New Roman" w:hAnsi="Times New Roman" w:cs="Times New Roman"/>
          <w:i/>
          <w:sz w:val="21.0"/>
          <w:szCs w:val="21.0"/>
        </w:rPr>
        <w:t>The Lancet Child &amp; Adolescent Health, 7</w:t>
      </w:r>
      <w:r>
        <w:rPr>
          <w:rFonts w:eastAsia="思源黑体" w:ascii="Times New Roman" w:hAnsi="Times New Roman" w:cs="Times New Roman"/>
          <w:sz w:val="21.0"/>
          <w:szCs w:val="21.0"/>
        </w:rPr>
        <w:t>(12), 897–908. https://doi.org/10.1016/S2352-4642(23)00221-3</w:t>
      </w:r>
    </w:p>
    <w:p>
      <w:pPr>
        <w:spacing w:after="60" w:line="276" w:lineRule="auto"/>
        <w:ind w:left="480" w:hanging="480"/>
      </w:pPr>
      <w:r>
        <w:rPr>
          <w:rFonts w:eastAsia="思源黑体" w:ascii="Times New Roman" w:hAnsi="Times New Roman" w:cs="Times New Roman"/>
          <w:sz w:val="21.0"/>
          <w:szCs w:val="21.0"/>
        </w:rPr>
        <w:t xml:space="preserve">McDonnell, C. G., DeLucia, E. A., Hayden, E. P., Penner, M., Curcin, K., Anagnostou, E., Nicolson, R., Kelley, E., Georgiades, S., Liu, X., &amp; Stevenson, R. A. (2021). Sex differences in age of diagnosis and first concern among children with autism spectrum disorder. </w:t>
      </w:r>
      <w:r>
        <w:rPr>
          <w:rFonts w:eastAsia="思源黑体" w:ascii="Times New Roman" w:hAnsi="Times New Roman" w:cs="Times New Roman"/>
          <w:i/>
          <w:sz w:val="21.0"/>
          <w:szCs w:val="21.0"/>
        </w:rPr>
        <w:t>Journal of Clinical Child &amp; Adolescent Psychology, 50</w:t>
      </w:r>
      <w:r>
        <w:rPr>
          <w:rFonts w:eastAsia="思源黑体" w:ascii="Times New Roman" w:hAnsi="Times New Roman" w:cs="Times New Roman"/>
          <w:sz w:val="21.0"/>
          <w:szCs w:val="21.0"/>
        </w:rPr>
        <w:t>(5), 645–655. https://doi.org/10.1080/15374416.2020.1823850</w:t>
      </w:r>
    </w:p>
    <w:p>
      <w:pPr>
        <w:spacing w:after="60" w:line="276" w:lineRule="auto"/>
        <w:ind w:left="480" w:hanging="480"/>
      </w:pPr>
      <w:r>
        <w:rPr>
          <w:rFonts w:eastAsia="思源黑体" w:ascii="Times New Roman" w:hAnsi="Times New Roman" w:cs="Times New Roman"/>
          <w:sz w:val="21.0"/>
          <w:szCs w:val="21.0"/>
        </w:rPr>
        <w:t xml:space="preserve">Nagar Shimoni, H., Zilbershot Fink, E., &amp; Leitner, Y. (2025). The clinical phenotype of early selective mutism and later autism spectrum disorder in girls: A case series analysis. </w:t>
      </w:r>
      <w:r>
        <w:rPr>
          <w:rFonts w:eastAsia="思源黑体" w:ascii="Times New Roman" w:hAnsi="Times New Roman" w:cs="Times New Roman"/>
          <w:i/>
          <w:sz w:val="21.0"/>
          <w:szCs w:val="21.0"/>
        </w:rPr>
        <w:t>Children, 12</w:t>
      </w:r>
      <w:r>
        <w:rPr>
          <w:rFonts w:eastAsia="思源黑体" w:ascii="Times New Roman" w:hAnsi="Times New Roman" w:cs="Times New Roman"/>
          <w:sz w:val="21.0"/>
          <w:szCs w:val="21.0"/>
        </w:rPr>
        <w:t>(2), Article 237. https://doi.org/10.3390/children12020237</w:t>
      </w:r>
    </w:p>
    <w:p>
      <w:pPr>
        <w:spacing w:after="60" w:line="276" w:lineRule="auto"/>
        <w:ind w:left="480" w:hanging="480"/>
      </w:pPr>
      <w:r>
        <w:rPr>
          <w:rFonts w:eastAsia="思源黑体" w:ascii="Times New Roman" w:hAnsi="Times New Roman" w:cs="Times New Roman"/>
          <w:sz w:val="21.0"/>
          <w:szCs w:val="21.0"/>
        </w:rPr>
        <w:t xml:space="preserve">Nazari, S., Ramos Cabo, S., Nalabolu, S., Carter Barnes, C., Andreason, C., Zahiri, J., Esquivel, A., Arias, S. J., Grzybowski, A., Lombardo, M. V., Lopez, L., Courchesne, E., &amp; Pierce, K. (2025). Large-scale examination of early-age sex differences in neurotypical toddlers and those with autism spectrum disorder or other developmental conditions. </w:t>
      </w:r>
      <w:r>
        <w:rPr>
          <w:rFonts w:eastAsia="思源黑体" w:ascii="Times New Roman" w:hAnsi="Times New Roman" w:cs="Times New Roman"/>
          <w:i/>
          <w:sz w:val="21.0"/>
          <w:szCs w:val="21.0"/>
        </w:rPr>
        <w:t>Nature Human Behaviour, 9</w:t>
      </w:r>
      <w:r>
        <w:rPr>
          <w:rFonts w:eastAsia="思源黑体" w:ascii="Times New Roman" w:hAnsi="Times New Roman" w:cs="Times New Roman"/>
          <w:sz w:val="21.0"/>
          <w:szCs w:val="21.0"/>
        </w:rPr>
        <w:t>(8), 1697–1709. https://doi.org/10.1038/s41562-025-02132-6</w:t>
      </w:r>
    </w:p>
    <w:p>
      <w:pPr>
        <w:spacing w:after="60" w:line="276" w:lineRule="auto"/>
        <w:ind w:left="480" w:hanging="480"/>
      </w:pPr>
      <w:r>
        <w:rPr>
          <w:rFonts w:eastAsia="思源黑体" w:ascii="Times New Roman" w:hAnsi="Times New Roman" w:cs="Times New Roman"/>
          <w:sz w:val="21.0"/>
          <w:szCs w:val="21.0"/>
        </w:rPr>
        <w:t xml:space="preserve">Ouyang, Y., Feng, J., Wang, T., Xue, Y., Mohamed, Z. A., &amp; Jia, F. (2024). Comparison of the efficacy of parent-mediated NDBIs on developmental skills in children with ASD and fidelity in parents: A systematic review and network meta-analysis. </w:t>
      </w:r>
      <w:r>
        <w:rPr>
          <w:rFonts w:eastAsia="思源黑体" w:ascii="Times New Roman" w:hAnsi="Times New Roman" w:cs="Times New Roman"/>
          <w:i/>
          <w:sz w:val="21.0"/>
          <w:szCs w:val="21.0"/>
        </w:rPr>
        <w:t>BMC Pediatrics, 24</w:t>
      </w:r>
      <w:r>
        <w:rPr>
          <w:rFonts w:eastAsia="思源黑体" w:ascii="Times New Roman" w:hAnsi="Times New Roman" w:cs="Times New Roman"/>
          <w:sz w:val="21.0"/>
          <w:szCs w:val="21.0"/>
        </w:rPr>
        <w:t>(1), Article 270. https://doi.org/10.1186/s12887-024-04752-9</w:t>
      </w:r>
    </w:p>
    <w:p>
      <w:pPr>
        <w:spacing w:after="60" w:line="276" w:lineRule="auto"/>
        <w:ind w:left="480" w:hanging="480"/>
      </w:pPr>
      <w:r>
        <w:rPr>
          <w:rFonts w:eastAsia="思源黑体" w:ascii="Times New Roman" w:hAnsi="Times New Roman" w:cs="Times New Roman"/>
          <w:sz w:val="21.0"/>
          <w:szCs w:val="21.0"/>
        </w:rPr>
        <w:t xml:space="preserve">Waizbard, E., Ferrer, E., Miller, M., Heath, B., Andrews, D. S., Rogers, S. J., Nordahl, C. W., Solomon, M., &amp; Amaral, D. G. (2025). Trajectories of autism symptom severity for boys and girls across childhood. </w:t>
      </w:r>
      <w:r>
        <w:rPr>
          <w:rFonts w:eastAsia="思源黑体" w:ascii="Times New Roman" w:hAnsi="Times New Roman" w:cs="Times New Roman"/>
          <w:i/>
          <w:sz w:val="21.0"/>
          <w:szCs w:val="21.0"/>
        </w:rPr>
        <w:t>Autism, 29</w:t>
      </w:r>
      <w:r>
        <w:rPr>
          <w:rFonts w:eastAsia="思源黑体" w:ascii="Times New Roman" w:hAnsi="Times New Roman" w:cs="Times New Roman"/>
          <w:sz w:val="21.0"/>
          <w:szCs w:val="21.0"/>
        </w:rPr>
        <w:t>(7), 1782–1794. https://doi.org/10.1177/13623613251325317</w:t>
      </w:r>
    </w:p>
    <w:p>
      <w:pPr>
        <w:spacing w:after="60" w:line="276" w:lineRule="auto"/>
        <w:ind w:left="480" w:hanging="480"/>
      </w:pPr>
      <w:r>
        <w:rPr>
          <w:rFonts w:eastAsia="思源黑体" w:ascii="Times New Roman" w:hAnsi="Times New Roman" w:cs="Times New Roman"/>
          <w:sz w:val="21.0"/>
          <w:szCs w:val="21.0"/>
        </w:rPr>
        <w:t xml:space="preserve">Wood-Downie, H., Wong, B., Kovshoff, H., Mandy, W., Hull, L., &amp; Hadwin, J. A. (2021). Sex/gender differences in camouflaging in children and adolescents with autism. </w:t>
      </w:r>
      <w:r>
        <w:rPr>
          <w:rFonts w:eastAsia="思源黑体" w:ascii="Times New Roman" w:hAnsi="Times New Roman" w:cs="Times New Roman"/>
          <w:i/>
          <w:sz w:val="21.0"/>
          <w:szCs w:val="21.0"/>
        </w:rPr>
        <w:t>Journal of Autism and Developmental Disorders, 51</w:t>
      </w:r>
      <w:r>
        <w:rPr>
          <w:rFonts w:eastAsia="思源黑体" w:ascii="Times New Roman" w:hAnsi="Times New Roman" w:cs="Times New Roman"/>
          <w:sz w:val="21.0"/>
          <w:szCs w:val="21.0"/>
        </w:rPr>
        <w:t>(4), 1353–1364. https://doi.org/10.1007/s10803-020-04615-z</w:t>
      </w:r>
    </w:p>
    <w:p>
      <w:pPr>
        <w:spacing w:after="60" w:line="276" w:lineRule="auto"/>
        <w:ind w:left="480" w:hanging="480"/>
      </w:pPr>
      <w:r>
        <w:rPr>
          <w:rFonts w:eastAsia="思源黑体" w:ascii="Times New Roman" w:hAnsi="Times New Roman" w:cs="Times New Roman"/>
          <w:sz w:val="21.0"/>
          <w:szCs w:val="21.0"/>
        </w:rPr>
        <w:t xml:space="preserve">Zhang, X., Grove, J., Gu, Y., Buus, C. K., Nielsen, L. K., Neufeld, S. A. S., Koko, M., Malawsky, D. S., Wade, E. M., Verhoef, E., Gui, A., Hegemann, L., APEX Consortium, iPSYCH Autism Consortium, PGC-PTSD Consortium, Geschwind, D. H., Wray, N. R., Havdahl, A., Ronald, A., … Warrier, V. (2025). Polygenic and developmental profiles of autism differ by age at diagnosis. </w:t>
      </w:r>
      <w:r>
        <w:rPr>
          <w:rFonts w:eastAsia="思源黑体" w:ascii="Times New Roman" w:hAnsi="Times New Roman" w:cs="Times New Roman"/>
          <w:i/>
          <w:sz w:val="21.0"/>
          <w:szCs w:val="21.0"/>
        </w:rPr>
        <w:t>Nature, 646</w:t>
      </w:r>
      <w:r>
        <w:rPr>
          <w:rFonts w:eastAsia="思源黑体" w:ascii="Times New Roman" w:hAnsi="Times New Roman" w:cs="Times New Roman"/>
          <w:sz w:val="21.0"/>
          <w:szCs w:val="21.0"/>
        </w:rPr>
        <w:t>, 1146–1155. https://doi.org/10.1038/s41586-025-09542-6</w:t>
      </w:r>
    </w:p>
    <w:p>
      <w:pPr>
        <w:spacing w:after="60" w:line="276" w:lineRule="auto"/>
        <w:ind w:left="480" w:hanging="480"/>
      </w:pPr>
      <w:r>
        <w:rPr>
          <w:rFonts w:eastAsia="思源黑体" w:ascii="Times New Roman" w:hAnsi="Times New Roman" w:cs="Times New Roman"/>
          <w:sz w:val="21.0"/>
          <w:szCs w:val="21.0"/>
        </w:rPr>
        <w:t xml:space="preserve">National Health Commission of the People's Republic of China. (2026). </w:t>
      </w:r>
      <w:r>
        <w:rPr>
          <w:rFonts w:eastAsia="思源黑体" w:ascii="Times New Roman" w:hAnsi="Times New Roman" w:cs="Times New Roman"/>
          <w:i/>
          <w:sz w:val="21.0"/>
          <w:szCs w:val="21.0"/>
        </w:rPr>
        <w:t>Guidelines for intervention and rehabilitation for children with autism spectrum disorder (2026 edition)</w:t>
      </w:r>
      <w:r>
        <w:rPr>
          <w:rFonts w:eastAsia="思源黑体" w:ascii="Times New Roman" w:hAnsi="Times New Roman" w:cs="Times New Roman"/>
          <w:sz w:val="21.0"/>
          <w:szCs w:val="21.0"/>
        </w:rPr>
        <w:t xml:space="preserve"> (Document No. Guoweiban Fuyou Han [2026] 302).</w:t>
      </w:r>
    </w:p>
    <w:p>
      <w:pPr>
        <w:spacing w:after="60" w:line="276" w:lineRule="auto"/>
        <w:ind w:left="480" w:hanging="480"/>
      </w:pPr>
      <w:r>
        <w:rPr>
          <w:rFonts w:eastAsia="思源黑体" w:ascii="Times New Roman" w:hAnsi="Times New Roman" w:cs="Times New Roman"/>
          <w:sz w:val="21.0"/>
          <w:szCs w:val="21.0"/>
        </w:rPr>
        <w:t xml:space="preserve">National Health Commission of the People's Republic of China. (2022). </w:t>
      </w:r>
      <w:r>
        <w:rPr>
          <w:rFonts w:eastAsia="思源黑体" w:ascii="Times New Roman" w:hAnsi="Times New Roman" w:cs="Times New Roman"/>
          <w:i/>
          <w:sz w:val="21.0"/>
          <w:szCs w:val="21.0"/>
        </w:rPr>
        <w:t>Service specification for autism screening and intervention in children aged 0–6 years (trial)</w:t>
      </w:r>
      <w:r>
        <w:rPr>
          <w:rFonts w:eastAsia="思源黑体" w:ascii="Times New Roman" w:hAnsi="Times New Roman" w:cs="Times New Roman"/>
          <w:sz w:val="21.0"/>
          <w:szCs w:val="21.0"/>
        </w:rPr>
        <w:t>. http://www.nhc.gov.cn/fys/s7900/202209/d7e4e99f7bb34c6fa03b6a0d8c0c3c0e.shtml</w:t>
      </w:r>
    </w:p>
    <w:p>
      <w:pPr>
        <w:spacing w:after="60" w:line="276" w:lineRule="auto"/>
        <w:ind w:left="480" w:hanging="480"/>
      </w:pPr>
      <w:r>
        <w:rPr>
          <w:rFonts w:eastAsia="思源黑体" w:ascii="Times New Roman" w:hAnsi="Times New Roman" w:cs="Times New Roman"/>
          <w:sz w:val="21.0"/>
          <w:szCs w:val="21.0"/>
        </w:rPr>
        <w:t xml:space="preserve">Subspecialty Group of Developmental and Behavioral Pediatrics, Society of Pediatrics, Chinese Medical Association; Child Health Care Professional Committee, Pediatrician Branch, Chinese Medical Doctor Association; &amp; Expert Group on Diagnostic and Preventive Technology and Standards for Childhood Autism. (2017). Expert consensus on early identification, screening, and early intervention for children with autism spectrum disorder. </w:t>
      </w:r>
      <w:r>
        <w:rPr>
          <w:rFonts w:eastAsia="思源黑体" w:ascii="Times New Roman" w:hAnsi="Times New Roman" w:cs="Times New Roman"/>
          <w:i/>
          <w:sz w:val="21.0"/>
          <w:szCs w:val="21.0"/>
        </w:rPr>
        <w:t>Chinese Journal of Pediatrics, 55</w:t>
      </w:r>
      <w:r>
        <w:rPr>
          <w:rFonts w:eastAsia="思源黑体" w:ascii="Times New Roman" w:hAnsi="Times New Roman" w:cs="Times New Roman"/>
          <w:sz w:val="21.0"/>
          <w:szCs w:val="21.0"/>
        </w:rPr>
        <w:t>(12), 890–897. https://doi.org/10.3760/cma.j.issn.0578-1310.2017.12.004. (In Chinese)</w:t>
      </w:r>
    </w:p>
    <w:p>
      <w:pPr>
        <w:spacing w:after="60" w:line="276" w:lineRule="auto"/>
        <w:ind w:left="480" w:hanging="480"/>
      </w:pPr>
      <w:r>
        <w:rPr>
          <w:rFonts w:eastAsia="思源黑体" w:ascii="Times New Roman" w:hAnsi="Times New Roman" w:cs="Times New Roman"/>
          <w:sz w:val="21.0"/>
          <w:szCs w:val="21.0"/>
        </w:rPr>
        <w:t xml:space="preserve">Subspecialty Group of Developmental and Behavioral Pediatrics, Society of Pediatrics, Chinese Medical Association; &amp; Child Health Care Group, Pediatrician Branch, Chinese Medical Doctor Association. (2022a). Expert consensus on early diagnosis of autism spectrum disorder in young Chinese children. </w:t>
      </w:r>
      <w:r>
        <w:rPr>
          <w:rFonts w:eastAsia="思源黑体" w:ascii="Times New Roman" w:hAnsi="Times New Roman" w:cs="Times New Roman"/>
          <w:i/>
          <w:sz w:val="21.0"/>
          <w:szCs w:val="21.0"/>
        </w:rPr>
        <w:t>Chinese Journal of Pediatrics, 60</w:t>
      </w:r>
      <w:r>
        <w:rPr>
          <w:rFonts w:eastAsia="思源黑体" w:ascii="Times New Roman" w:hAnsi="Times New Roman" w:cs="Times New Roman"/>
          <w:sz w:val="21.0"/>
          <w:szCs w:val="21.0"/>
        </w:rPr>
        <w:t>(7), 640–646. https://doi.org/10.3760/cma.j.cn112140-20220118-00062. (In Chinese)</w:t>
      </w:r>
    </w:p>
    <w:p>
      <w:pPr>
        <w:spacing w:after="60" w:line="276" w:lineRule="auto"/>
        <w:ind w:left="480" w:hanging="480"/>
      </w:pPr>
      <w:r>
        <w:rPr>
          <w:rFonts w:eastAsia="思源黑体" w:ascii="Times New Roman" w:hAnsi="Times New Roman" w:cs="Times New Roman"/>
          <w:sz w:val="21.0"/>
          <w:szCs w:val="21.0"/>
        </w:rPr>
        <w:t xml:space="preserve">Subspecialty Group of Developmental and Behavioral Pediatrics, Society of Pediatrics, Chinese Medical Association; &amp; Child Health Care Group, Pediatrician Branch, Chinese Medical Doctor Association. (2022b). Expert consensus on family intervention for young children with autism spectrum disorder in China. </w:t>
      </w:r>
      <w:r>
        <w:rPr>
          <w:rFonts w:eastAsia="思源黑体" w:ascii="Times New Roman" w:hAnsi="Times New Roman" w:cs="Times New Roman"/>
          <w:i/>
          <w:sz w:val="21.0"/>
          <w:szCs w:val="21.0"/>
        </w:rPr>
        <w:t>Chinese Journal of Pediatrics, 60</w:t>
      </w:r>
      <w:r>
        <w:rPr>
          <w:rFonts w:eastAsia="思源黑体" w:ascii="Times New Roman" w:hAnsi="Times New Roman" w:cs="Times New Roman"/>
          <w:sz w:val="21.0"/>
          <w:szCs w:val="21.0"/>
        </w:rPr>
        <w:t>(5), 395–400. https://doi.org/10.3760/cma.j.cn112140-20220112-00045. (In Chinese)</w:t>
      </w:r>
    </w:p>
    <w:p>
      <w:pPr>
        <w:spacing w:after="60" w:line="276" w:lineRule="auto"/>
        <w:ind w:left="480" w:hanging="480"/>
      </w:pPr>
      <w:r>
        <w:rPr>
          <w:rFonts w:eastAsia="思源黑体" w:ascii="Times New Roman" w:hAnsi="Times New Roman" w:cs="Times New Roman"/>
          <w:sz w:val="21.0"/>
          <w:szCs w:val="21.0"/>
        </w:rPr>
        <w:t xml:space="preserve">Zhao, Y., Li, Z., Li, L., Guan, C., Yin, Y., Yang, Y., Liu, J., Zhang, Y., Peng, D., &amp; Jia, M. (2023). Screening prevalence of autism spectrum disorder among children aged 0–6 years in China. </w:t>
      </w:r>
      <w:r>
        <w:rPr>
          <w:rFonts w:eastAsia="思源黑体" w:ascii="Times New Roman" w:hAnsi="Times New Roman" w:cs="Times New Roman"/>
          <w:i/>
          <w:sz w:val="21.0"/>
          <w:szCs w:val="21.0"/>
        </w:rPr>
        <w:t>Chinese Journal of Reproductive Health, 34</w:t>
      </w:r>
      <w:r>
        <w:rPr>
          <w:rFonts w:eastAsia="思源黑体" w:ascii="Times New Roman" w:hAnsi="Times New Roman" w:cs="Times New Roman"/>
          <w:sz w:val="21.0"/>
          <w:szCs w:val="21.0"/>
        </w:rPr>
        <w:t>(5), 423–428. (In Chinese)</w:t>
      </w:r>
    </w:p>
    <w:sectPr w:rsidR="00FC693F" w:rsidRPr="0006063C" w:rsidSect="00034616">
      <w:footerReference w:type="default" r:id="rId9"/>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eastAsia="思源黑体" w:ascii="Times New Roman" w:hAnsi="Times New Roman" w:cs="Times New Roman"/>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eastAsia="思源黑体" w:ascii="Times New Roman" w:hAnsi="Times New Roman" w:cs="Times New Roman"/>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eastAsia="思源黑体" w:ascii="Times New Roman" w:hAnsi="Times New Roman" w:cs="Times New Roman"/>
      <w:b/>
      <w:bCs/>
      <w:color w:val="365F91" w:themeColor="accent1" w:themeShade="BF"/>
      <w:sz w:val="32"/>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eastAsia="思源黑体" w:ascii="Times New Roman" w:hAnsi="Times New Roman" w:cs="Times New Roman"/>
      <w:b/>
      <w:bCs/>
      <w:color w:val="4F81BD" w:themeColor="accent1"/>
      <w:sz w:val="28"/>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eastAsia="思源黑体" w:ascii="Times New Roman" w:hAnsi="Times New Roman" w:cs="Times New Roman"/>
      <w:b/>
      <w:bCs/>
      <w:color w:val="4F81BD" w:themeColor="accent1"/>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{"Label":"1","ContentProducer":"001191440300708461136T1WFUO","ProduceID":"f72f3f753f19d733990f988b63f81288-XNse","ReservedCode1":"{\"Type\":\" TC260PG\",\"Version\":1,\"Bindings\":[{\"Type\":\"soft\",\"AlgID\":\"sm3\",\"Value\":\"6c2982c6ca789f181ac9627b675aa5823623989ad109ac41ce2d42dcac34d050\"},{\"Type\":\"hash\",\"AlgID\":\"sm3\",\"Value\":\"81e17dee22d07182d8bed34990e91b2dad9c40ba42095c3b9d2a22311945f744\"}],\"PubSD\":[{\"Type\":\"DS\",\"AlgID\":\"sm2\",\"TBSData\":{\"Type\":\"Binding\",\"BType\":\"hash\"},\"Signature\":\"3044022006a73a11484a32a216834bb3d20d55980687e6d678c654f7fff69a662bab2dbf022007772a31e815750bf1a64f43a3150e5d5377e5bd6f389b81da0f6fe7e27875df\"},{\"Type\":\"PubKey\",\"AlgID\":\"sm2\",\"KeyValue\":\"0407f79b28a17a752b3aae4305c98b48978213832729a2571850b1310b2bc9fe8fee039ccf25ebfeac27502414d9fcef792d777183c98893d226171c2f7a3289a2\"}],\"Extension\":{\"Timestamp\":1790258430,\"KeyVersion\":\"v1-TxLeOmf7bqU223\"}}","ContentPropagator":"001191440300708461136T1WFUO","PropagateID":"f72f3f753f19d733990f988b63f81288-XNse","ReservedCode2":"{\"Type\":\" TC260PG\",\"Version\":1,\"Bindings\":[{\"Type\":\"soft\",\"AlgID\":\"sm3\",\"Value\":\"6c2982c6ca789f181ac9627b675aa5823623989ad109ac41ce2d42dcac34d050\"},{\"Type\":\"hash\",\"AlgID\":\"sm3\",\"Value\":\"81e17dee22d07182d8bed34990e91b2dad9c40ba42095c3b9d2a22311945f744\"}],\"PubSD\":[{\"Type\":\"DS\",\"AlgID\":\"sm2\",\"TBSData\":{\"Type\":\"Binding\",\"BType\":\"hash\"},\"Signature\":\"304402204e19eb195f01edb38d6e339116cc6902fce98f24a77a12c6c127c221478e39e402203e78120191bb8a6e7dd4920d21092ed01cb57a6e021821d56b0fb88816fad94d\"},{\"Type\":\"PubKey\",\"AlgID\":\"sm2\",\"KeyValue\":\"0407f79b28a17a752b3aae4305c98b48978213832729a2571850b1310b2bc9fe8fee039ccf25ebfeac27502414d9fcef792d777183c98893d226171c2f7a3289a2\"}],\"Extension\":{\"Timestamp\":1790258430,\"KeyVersion\":\"v1-TxLeOmf7bqU223\"}}"}</vt:lpwstr>
  </property>
</Properties>
</file>