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Override PartName="/docProps/custom.xml" ContentType="application/vnd.openxmlformats-officedocument.custom-properties+xml"/>
</Types>
</file>

<file path=_rels/.rels><?xml version="1.0" encoding="UTF-8"?>
<Relationships xmlns="http://schemas.openxmlformats.org/package/2006/relationships">
  <Relationship Id="rId3" Type="http://schemas.openxmlformats.org/package/2006/relationships/metadata/core-properties" Target="docProps/core.xml"></Relationship>
  <Relationship Id="rId4" Type="http://schemas.openxmlformats.org/officeDocument/2006/relationships/extended-properties" Target="docProps/app.xml"></Relationship>
  <Relationship Id="rId1" Type="http://schemas.openxmlformats.org/officeDocument/2006/relationships/officeDocument" Target="word/document.xml"></Relationship>
  <Relationship Id="rId2" Type="http://schemas.openxmlformats.org/package/2006/relationships/metadata/thumbnail" Target="docProps/thumbnail.jpeg"></Relationship>
  <Relationship Id="rId5" Type="http://schemas.openxmlformats.org/officeDocument/2006/relationships/custom-properties" Target="docProps/custom.xml"></Relationship>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line="480" w:lineRule="auto" w:before="1200" w:after="0"/>
        <w:jc w:val="center"/>
      </w:pPr>
    </w:p>
    <w:p>
      <w:pPr>
        <w:spacing w:line="480" w:lineRule="auto" w:before="960" w:after="0"/>
        <w:jc w:val="center"/>
      </w:pPr>
      <w:r>
        <w:rPr>
          <w:rFonts w:ascii="Times New Roman" w:hAnsi="Times New Roman" w:eastAsia="SimSun"/>
          <w:b/>
          <w:i w:val="0"/>
          <w:sz w:val="32"/>
        </w:rPr>
        <w:t>A Comparative Study of Itinerant Support Teacher Systems in Special Education in China, Malaysia, and Singapore (2020–2025)</w:t>
      </w:r>
    </w:p>
    <w:p>
      <w:pPr>
        <w:spacing w:line="480" w:lineRule="auto" w:before="0" w:after="0"/>
      </w:pPr>
    </w:p>
    <w:p>
      <w:pPr>
        <w:spacing w:line="480" w:lineRule="auto" w:before="0" w:after="0"/>
        <w:jc w:val="center"/>
      </w:pPr>
      <w:r>
        <w:rPr>
          <w:rFonts w:ascii="Times New Roman" w:hAnsi="Times New Roman" w:eastAsia="SimSun"/>
          <w:b w:val="0"/>
          <w:i w:val="0"/>
          <w:sz w:val="24"/>
        </w:rPr>
        <w:t>Author: ______________________</w:t>
      </w:r>
    </w:p>
    <w:p>
      <w:pPr>
        <w:spacing w:line="480" w:lineRule="auto" w:before="0" w:after="0"/>
        <w:jc w:val="center"/>
      </w:pPr>
      <w:r>
        <w:rPr>
          <w:rFonts w:ascii="Times New Roman" w:hAnsi="Times New Roman" w:eastAsia="SimSun"/>
          <w:b w:val="0"/>
          <w:i w:val="0"/>
          <w:sz w:val="24"/>
        </w:rPr>
        <w:t>Institutional affiliation: ______________________</w:t>
      </w:r>
    </w:p>
    <w:p>
      <w:pPr>
        <w:spacing w:line="480" w:lineRule="auto" w:before="0" w:after="0"/>
        <w:jc w:val="center"/>
      </w:pPr>
      <w:r>
        <w:rPr>
          <w:rFonts w:ascii="Times New Roman" w:hAnsi="Times New Roman" w:eastAsia="SimSun"/>
          <w:b w:val="0"/>
          <w:i w:val="0"/>
          <w:sz w:val="24"/>
        </w:rPr>
        <w:t>Document type: Policy and literature comparative study (non-empirical)</w:t>
      </w:r>
    </w:p>
    <w:p>
      <w:pPr>
        <w:spacing w:line="480" w:lineRule="auto" w:before="0" w:after="0"/>
        <w:jc w:val="center"/>
      </w:pPr>
      <w:r>
        <w:rPr>
          <w:rFonts w:ascii="Times New Roman" w:hAnsi="Times New Roman" w:eastAsia="SimSun"/>
          <w:b w:val="0"/>
          <w:i w:val="0"/>
          <w:sz w:val="24"/>
        </w:rPr>
        <w:t>Date of completion: September 2026</w:t>
      </w:r>
    </w:p>
    <w:p>
      <w:r>
        <w:br w:type="page"/>
      </w:r>
    </w:p>
    <w:p>
      <w:pPr>
        <w:spacing w:line="480" w:lineRule="auto" w:before="0" w:after="0"/>
        <w:jc w:val="center"/>
      </w:pPr>
      <w:r>
        <w:rPr>
          <w:rFonts w:ascii="Times New Roman" w:hAnsi="Times New Roman" w:eastAsia="SimSun"/>
          <w:b/>
          <w:i w:val="0"/>
          <w:sz w:val="24"/>
        </w:rPr>
        <w:t>Abstract</w:t>
      </w:r>
    </w:p>
    <w:p>
      <w:pPr>
        <w:spacing w:line="480" w:lineRule="auto" w:before="0" w:after="0"/>
        <w:ind w:firstLine="720"/>
      </w:pPr>
      <w:r>
        <w:rPr>
          <w:rFonts w:ascii="Times New Roman" w:hAnsi="Times New Roman" w:eastAsia="SimSun"/>
          <w:b w:val="0"/>
          <w:i w:val="0"/>
          <w:sz w:val="24"/>
        </w:rPr>
        <w:t>Drawing on policy texts, official statistics, authoritative media reports, and Chinese- and English-language peer-reviewed literature published between 2020 and 2025, this study systematically compares the role of the itinerant guidance teacher (itinerant/visiting teacher) and related mobile support personnel in special education across China, Malaysia, and Singapore. The comparison proceeds along six dimensions: institutional positioning and conceptual equivalence; legal and policy genealogy; target populations and organisational affiliation; job responsibilities and service processes; qualification, training, and teacher supply; and cross-sector coordination and policy transmission. Implementation difficulties, coping strategies, and technology-supported service models are examined as well. The study finds that the three systems share the inclusive goal of bringing specialist expertise into mainstream classrooms, yet they differ fundamentally in how that expertise moves. China has institutionalised cross-school itinerant guidance through county-level special education resource centres, producing a "resource centre–itinerant teacher–mainstream school" accountability chain. Malaysia relies chiefly on school-based integrated special education classes (PPKI) and outreach by regional special education service centres (3PK), and no verifiable evidence of a unified national itinerant establishment was located. Singapore centres on in-school embedded support staff (AED(LBS)), a dual-track SPED school system, and cross-agency transition networks, where mobility occurs in service linkage rather than in teacher travel. Common bottlenecks include the absence of workload accounting, fragmented cross-setting data, and uneven specialist supply. Telepractice and artificial intelligence can extend professional reach but cannot replace face-to-face assessment, placement decisions, or professional relationships. The study argues that cross-national borrowing should "replicate mechanisms before replicating job titles" and calls for a shared six-dimensional logic model to generate comparable data.</w:t>
      </w:r>
    </w:p>
    <w:p>
      <w:pPr>
        <w:spacing w:line="480" w:lineRule="auto" w:before="0" w:after="240"/>
        <w:ind w:firstLine="720"/>
      </w:pPr>
      <w:r>
        <w:rPr>
          <w:rFonts w:ascii="Times New Roman" w:hAnsi="Times New Roman" w:eastAsia="SimSun"/>
          <w:b/>
          <w:i/>
          <w:sz w:val="24"/>
        </w:rPr>
        <w:t>Keywords:</w:t>
      </w:r>
      <w:r>
        <w:rPr>
          <w:rFonts w:ascii="Times New Roman" w:hAnsi="Times New Roman" w:eastAsia="SimSun"/>
          <w:b w:val="0"/>
          <w:i/>
          <w:sz w:val="24"/>
        </w:rPr>
        <w:t xml:space="preserve"> special education, itinerant teacher, inclusive education, learning in regular classrooms, teacher training, inter-agency collaboration, China, Malaysia, Singapore</w:t>
      </w:r>
    </w:p>
    <w:p>
      <w:pPr>
        <w:pStyle w:val="Heading1"/>
      </w:pPr>
      <w:r>
        <w:rPr>
          <w:rFonts w:ascii="Times New Roman" w:hAnsi="Times New Roman" w:eastAsia="SimSun"/>
        </w:rPr>
        <w:t>1. Introduction</w:t>
      </w:r>
    </w:p>
    <w:p>
      <w:pPr>
        <w:spacing w:line="480" w:lineRule="auto" w:before="0" w:after="0"/>
        <w:ind w:firstLine="720"/>
      </w:pPr>
      <w:r>
        <w:rPr>
          <w:rFonts w:ascii="Times New Roman" w:hAnsi="Times New Roman" w:eastAsia="SimSun"/>
          <w:b w:val="0"/>
          <w:i w:val="0"/>
          <w:sz w:val="24"/>
        </w:rPr>
        <w:t>The international consensus on inclusive education holds that students with special educational needs should learn in mainstream settings as far as possible. Yet "being admitted to a regular class" is not equivalent to "receiving appropriate support in a regular class." When mainstream teachers lack specialist competence, a mechanism is needed to deliver professional expertise to the mainstream classroom. The itinerant teacher (or visiting teacher) is the most typical such arrangement. It substitutes "the movement of professionals across schools" for "the segregated placement of students," and in principle reconciles the right to inclusion with the provision of specialist support.</w:t>
      </w:r>
    </w:p>
    <w:p>
      <w:pPr>
        <w:spacing w:line="480" w:lineRule="auto" w:before="0" w:after="0"/>
        <w:ind w:firstLine="720"/>
      </w:pPr>
      <w:r>
        <w:rPr>
          <w:rFonts w:ascii="Times New Roman" w:hAnsi="Times New Roman" w:eastAsia="SimSun"/>
          <w:b w:val="0"/>
          <w:i w:val="0"/>
          <w:sz w:val="24"/>
        </w:rPr>
        <w:t>China, Malaysia, and Singapore differ markedly in geographic scale, administrative structure, linguistic ecology, and the developmental trajectory of special education, but all three face the same problem: how to cover dispersed mainstream schools with a limited supply of specialist personnel. China explicitly establishes the position of "itinerant guidance teacher" in its policy on learning in regular classrooms, coordinated by county-level special education resource centres. Malaysia relies primarily on Program Pendidikan Khas Integrasi (PPKI; Integrated Special Education Programme) and Pusat Perkhidmatan Pendidikan Khas (3PK; Special Education Service Centre), and is currently advancing Program Inklusif (Inclusive Programme). Singapore deploys Allied Educators (Learning and Behavioural Support), or AED(LBS), in mainstream schools and links them with government-funded SPED schools and social service agencies such as SG Enable.</w:t>
      </w:r>
    </w:p>
    <w:p>
      <w:pPr>
        <w:spacing w:line="480" w:lineRule="auto" w:before="0" w:after="0"/>
        <w:ind w:firstLine="720"/>
      </w:pPr>
      <w:r>
        <w:rPr>
          <w:rFonts w:ascii="Times New Roman" w:hAnsi="Times New Roman" w:eastAsia="SimSun"/>
          <w:b w:val="0"/>
          <w:i w:val="0"/>
          <w:sz w:val="24"/>
        </w:rPr>
        <w:t>Three problems are frequently conflated in the literature and in practice. First, job titles across the three countries are treated as directly translatable, obscuring differences in organisational affiliation and authority boundaries. Second, the "resource teacher" and the "itinerant guidance teacher" are treated as the same role. Third, one country's institutional standard is used to judge another. This study therefore poses three questions: (1) How do the institutional positioning and responsibility boundaries of the "itinerant/mobile support" function compare across the three systems? (2) How do national designs for qualification, training, coordination content, and policy transmission shape service delivery on the ground? (3) What are the implementation difficulties, technological responses, and mutually transferable lessons?</w:t>
      </w:r>
    </w:p>
    <w:p>
      <w:pPr>
        <w:spacing w:line="480" w:lineRule="auto" w:before="0" w:after="0"/>
        <w:ind w:firstLine="720"/>
      </w:pPr>
      <w:r>
        <w:rPr>
          <w:rFonts w:ascii="Times New Roman" w:hAnsi="Times New Roman" w:eastAsia="SimSun"/>
          <w:b w:val="0"/>
          <w:i w:val="0"/>
          <w:sz w:val="24"/>
        </w:rPr>
        <w:t xml:space="preserve">A note on conceptual handling is necessary at the outset. In this study, the "itinerant guidance teacher" is a </w:t>
      </w:r>
      <w:r>
        <w:rPr>
          <w:rFonts w:ascii="Times New Roman" w:hAnsi="Times New Roman" w:eastAsia="SimSun"/>
          <w:b/>
          <w:i w:val="0"/>
          <w:sz w:val="24"/>
        </w:rPr>
        <w:t>functional concept</w:t>
      </w:r>
      <w:r>
        <w:rPr>
          <w:rFonts w:ascii="Times New Roman" w:hAnsi="Times New Roman" w:eastAsia="SimSun"/>
          <w:b w:val="0"/>
          <w:i w:val="0"/>
          <w:sz w:val="24"/>
        </w:rPr>
        <w:t xml:space="preserve"> rather than a literal translation of a post title: it refers to a professional deployed by a specialist agency or regional centre who works across schools or settings to provide assessment, consultation, instructional support, and referral coordination for students with special educational needs in mainstream schools and for their teachers. China has an explicit national policy designation. In Malaysia the corresponding function is carried largely by school-based Guru Pendidikan Khas (special education teachers) and 3PK regional teams. In Singapore it is distributed among school-based AED(LBS), SEN officers, and the SPED/social service network. To avoid fabricating institutional equivalence, every cross-national comparison below states both the source of evidence and the limits of comparability.</w:t>
      </w:r>
    </w:p>
    <w:p>
      <w:pPr>
        <w:spacing w:line="480" w:lineRule="auto" w:before="0" w:after="0"/>
        <w:ind w:firstLine="720"/>
      </w:pPr>
      <w:r>
        <w:rPr>
          <w:rFonts w:ascii="Times New Roman" w:hAnsi="Times New Roman" w:eastAsia="SimSun"/>
          <w:b w:val="0"/>
          <w:i w:val="0"/>
          <w:sz w:val="24"/>
        </w:rPr>
        <w:t>Institutional names are abbreviated after first mention: the Ministry of Education of the People's Republic of China as "MOE China"; the Ministry of Education, Singapore as "MOE Singapore"; the Ministry of Social and Family Development as "MSF"; and Kementerian Pendidikan Malaysia as "KPM."</w:t>
      </w:r>
    </w:p>
    <w:p>
      <w:pPr>
        <w:pStyle w:val="Heading1"/>
      </w:pPr>
      <w:r>
        <w:rPr>
          <w:rFonts w:ascii="Times New Roman" w:hAnsi="Times New Roman" w:eastAsia="SimSun"/>
        </w:rPr>
        <w:t>2. Research Method and Literature Scope</w:t>
      </w:r>
    </w:p>
    <w:p>
      <w:pPr>
        <w:pStyle w:val="Heading2"/>
      </w:pPr>
      <w:r>
        <w:rPr>
          <w:rFonts w:ascii="Times New Roman" w:hAnsi="Times New Roman" w:eastAsia="SimSun"/>
        </w:rPr>
        <w:t>2.1 Search Strategy and Inclusion Criteria</w:t>
      </w:r>
    </w:p>
    <w:p>
      <w:pPr>
        <w:spacing w:line="480" w:lineRule="auto" w:before="0" w:after="0"/>
        <w:ind w:firstLine="720"/>
      </w:pPr>
      <w:r>
        <w:rPr>
          <w:rFonts w:ascii="Times New Roman" w:hAnsi="Times New Roman" w:eastAsia="SimSun"/>
          <w:b w:val="0"/>
          <w:i w:val="0"/>
          <w:sz w:val="24"/>
        </w:rPr>
        <w:t xml:space="preserve">This study combines a narrative literature review with policy text comparison. Four categories of sources were used: (a) original policy documents, statistical bulletins, and parliamentary replies from government and official agencies; (b) authoritative media reports; (c) Chinese- and English-language peer-reviewed journal articles, theses, and systematic reviews; and (d) reports from international organisations and professional bodies. The search window is primarily 2020–2025; foundational legal instruments (such as the </w:t>
      </w:r>
      <w:r>
        <w:rPr>
          <w:rFonts w:ascii="Times New Roman" w:hAnsi="Times New Roman" w:eastAsia="SimSun"/>
          <w:b w:val="0"/>
          <w:i/>
          <w:sz w:val="24"/>
        </w:rPr>
        <w:t>Regulations on Education for Persons with Disabilities</w:t>
      </w:r>
      <w:r>
        <w:rPr>
          <w:rFonts w:ascii="Times New Roman" w:hAnsi="Times New Roman" w:eastAsia="SimSun"/>
          <w:b w:val="0"/>
          <w:i w:val="0"/>
          <w:sz w:val="24"/>
        </w:rPr>
        <w:t>, the Persons with Disabilities Act 2008, and the Compulsory Education Act) are exempted from the date restriction and are cited with their year of promulgation.</w:t>
      </w:r>
    </w:p>
    <w:p>
      <w:pPr>
        <w:spacing w:line="480" w:lineRule="auto" w:before="0" w:after="0"/>
        <w:ind w:firstLine="720"/>
      </w:pPr>
      <w:r>
        <w:rPr>
          <w:rFonts w:ascii="Times New Roman" w:hAnsi="Times New Roman" w:eastAsia="SimSun"/>
          <w:b w:val="0"/>
          <w:i w:val="0"/>
          <w:sz w:val="24"/>
        </w:rPr>
        <w:t xml:space="preserve">Search terms included English, Chinese, and Malay equivalents: itinerant teacher, visiting teacher, peripatetic teacher, resource teacher, special education itinerant teachers (SEITs), inclusive education support teacher, Guru Pendidikan Khas, Program Pendidikan Khas Integrasi (PPKI), Program Inklusif, Murid Berkeperluan Khas (MBK), Pusat Perkhidmatan Pendidikan Khas (3PK), Allied Educators (Learning and Behavioural Support), SEN officers, SPED teachers, Enabling Masterplan 2030, telepractice, assistive technology, </w:t>
      </w:r>
      <w:r>
        <w:rPr>
          <w:rFonts w:ascii="Times New Roman" w:hAnsi="Times New Roman" w:eastAsia="SimSun"/>
          <w:b w:val="0"/>
          <w:i/>
          <w:sz w:val="24"/>
        </w:rPr>
        <w:t>suiban jiudu</w:t>
      </w:r>
      <w:r>
        <w:rPr>
          <w:rFonts w:ascii="Times New Roman" w:hAnsi="Times New Roman" w:eastAsia="SimSun"/>
          <w:b w:val="0"/>
          <w:i w:val="0"/>
          <w:sz w:val="24"/>
        </w:rPr>
        <w:t xml:space="preserve"> (learning in regular classrooms), </w:t>
      </w:r>
      <w:r>
        <w:rPr>
          <w:rFonts w:ascii="Times New Roman" w:hAnsi="Times New Roman" w:eastAsia="SimSun"/>
          <w:b w:val="0"/>
          <w:i/>
          <w:sz w:val="24"/>
        </w:rPr>
        <w:t>xunhui zhidao jiaoshi</w:t>
      </w:r>
      <w:r>
        <w:rPr>
          <w:rFonts w:ascii="Times New Roman" w:hAnsi="Times New Roman" w:eastAsia="SimSun"/>
          <w:b w:val="0"/>
          <w:i w:val="0"/>
          <w:sz w:val="24"/>
        </w:rPr>
        <w:t xml:space="preserve"> (itinerant guidance teacher), </w:t>
      </w:r>
      <w:r>
        <w:rPr>
          <w:rFonts w:ascii="Times New Roman" w:hAnsi="Times New Roman" w:eastAsia="SimSun"/>
          <w:b w:val="0"/>
          <w:i/>
          <w:sz w:val="24"/>
        </w:rPr>
        <w:t>ziyuan jiaoshi</w:t>
      </w:r>
      <w:r>
        <w:rPr>
          <w:rFonts w:ascii="Times New Roman" w:hAnsi="Times New Roman" w:eastAsia="SimSun"/>
          <w:b w:val="0"/>
          <w:i w:val="0"/>
          <w:sz w:val="24"/>
        </w:rPr>
        <w:t xml:space="preserve"> (resource teacher), </w:t>
      </w:r>
      <w:r>
        <w:rPr>
          <w:rFonts w:ascii="Times New Roman" w:hAnsi="Times New Roman" w:eastAsia="SimSun"/>
          <w:b w:val="0"/>
          <w:i/>
          <w:sz w:val="24"/>
        </w:rPr>
        <w:t>ronghe jiaoyu</w:t>
      </w:r>
      <w:r>
        <w:rPr>
          <w:rFonts w:ascii="Times New Roman" w:hAnsi="Times New Roman" w:eastAsia="SimSun"/>
          <w:b w:val="0"/>
          <w:i w:val="0"/>
          <w:sz w:val="24"/>
        </w:rPr>
        <w:t xml:space="preserve"> (inclusive education), </w:t>
      </w:r>
      <w:r>
        <w:rPr>
          <w:rFonts w:ascii="Times New Roman" w:hAnsi="Times New Roman" w:eastAsia="SimSun"/>
          <w:b w:val="0"/>
          <w:i/>
          <w:sz w:val="24"/>
        </w:rPr>
        <w:t>songjiao shangmen</w:t>
      </w:r>
      <w:r>
        <w:rPr>
          <w:rFonts w:ascii="Times New Roman" w:hAnsi="Times New Roman" w:eastAsia="SimSun"/>
          <w:b w:val="0"/>
          <w:i w:val="0"/>
          <w:sz w:val="24"/>
        </w:rPr>
        <w:t xml:space="preserve"> (homebound instruction), and </w:t>
      </w:r>
      <w:r>
        <w:rPr>
          <w:rFonts w:ascii="Times New Roman" w:hAnsi="Times New Roman" w:eastAsia="SimSun"/>
          <w:b w:val="0"/>
          <w:i/>
          <w:sz w:val="24"/>
        </w:rPr>
        <w:t>yi ren yi an</w:t>
      </w:r>
      <w:r>
        <w:rPr>
          <w:rFonts w:ascii="Times New Roman" w:hAnsi="Times New Roman" w:eastAsia="SimSun"/>
          <w:b w:val="0"/>
          <w:i w:val="0"/>
          <w:sz w:val="24"/>
        </w:rPr>
        <w:t xml:space="preserve"> (one student, one plan).</w:t>
      </w:r>
    </w:p>
    <w:p>
      <w:pPr>
        <w:pStyle w:val="Heading2"/>
      </w:pPr>
      <w:r>
        <w:rPr>
          <w:rFonts w:ascii="Times New Roman" w:hAnsi="Times New Roman" w:eastAsia="SimSun"/>
        </w:rPr>
        <w:t>2.2 Evidence Grading</w:t>
      </w:r>
    </w:p>
    <w:p>
      <w:pPr>
        <w:spacing w:line="480" w:lineRule="auto" w:before="0" w:after="0"/>
        <w:ind w:firstLine="720"/>
      </w:pPr>
      <w:r>
        <w:rPr>
          <w:rFonts w:ascii="Times New Roman" w:hAnsi="Times New Roman" w:eastAsia="SimSun"/>
          <w:b w:val="0"/>
          <w:i w:val="0"/>
          <w:sz w:val="24"/>
        </w:rPr>
        <w:t xml:space="preserve">To help readers judge how much weight a conclusion can bear, every judgement in this study is graded: </w:t>
      </w:r>
      <w:r>
        <w:rPr>
          <w:rFonts w:ascii="Times New Roman" w:hAnsi="Times New Roman" w:eastAsia="SimSun"/>
          <w:b/>
          <w:i w:val="0"/>
          <w:sz w:val="24"/>
        </w:rPr>
        <w:t>A = explicit in official policy or official statistics</w:t>
      </w:r>
      <w:r>
        <w:rPr>
          <w:rFonts w:ascii="Times New Roman" w:hAnsi="Times New Roman" w:eastAsia="SimSun"/>
          <w:b w:val="0"/>
          <w:i w:val="0"/>
          <w:sz w:val="24"/>
        </w:rPr>
        <w:t xml:space="preserve">; </w:t>
      </w:r>
      <w:r>
        <w:rPr>
          <w:rFonts w:ascii="Times New Roman" w:hAnsi="Times New Roman" w:eastAsia="SimSun"/>
          <w:b/>
          <w:i w:val="0"/>
          <w:sz w:val="24"/>
        </w:rPr>
        <w:t>B = supported by peer-reviewed research or high-quality scholarly evidence</w:t>
      </w:r>
      <w:r>
        <w:rPr>
          <w:rFonts w:ascii="Times New Roman" w:hAnsi="Times New Roman" w:eastAsia="SimSun"/>
          <w:b w:val="0"/>
          <w:i w:val="0"/>
          <w:sz w:val="24"/>
        </w:rPr>
        <w:t xml:space="preserve">; </w:t>
      </w:r>
      <w:r>
        <w:rPr>
          <w:rFonts w:ascii="Times New Roman" w:hAnsi="Times New Roman" w:eastAsia="SimSun"/>
          <w:b/>
          <w:i w:val="0"/>
          <w:sz w:val="24"/>
        </w:rPr>
        <w:t>C = authoritative media or officially relayed report</w:t>
      </w:r>
      <w:r>
        <w:rPr>
          <w:rFonts w:ascii="Times New Roman" w:hAnsi="Times New Roman" w:eastAsia="SimSun"/>
          <w:b w:val="0"/>
          <w:i w:val="0"/>
          <w:sz w:val="24"/>
        </w:rPr>
        <w:t xml:space="preserve">; </w:t>
      </w:r>
      <w:r>
        <w:rPr>
          <w:rFonts w:ascii="Times New Roman" w:hAnsi="Times New Roman" w:eastAsia="SimSun"/>
          <w:b/>
          <w:i w:val="0"/>
          <w:sz w:val="24"/>
        </w:rPr>
        <w:t>D = logical inference from institutional arrangements and publicly available materials</w:t>
      </w:r>
      <w:r>
        <w:rPr>
          <w:rFonts w:ascii="Times New Roman" w:hAnsi="Times New Roman" w:eastAsia="SimSun"/>
          <w:b w:val="0"/>
          <w:i w:val="0"/>
          <w:sz w:val="24"/>
        </w:rPr>
        <w:t>. Grades A and B can bear weight; C is supplementary only; D never supports a conclusion on its own. Each chapter closes with an "Evidence strength note."</w:t>
      </w:r>
    </w:p>
    <w:p>
      <w:pPr>
        <w:pStyle w:val="Heading2"/>
      </w:pPr>
      <w:r>
        <w:rPr>
          <w:rFonts w:ascii="Times New Roman" w:hAnsi="Times New Roman" w:eastAsia="SimSun"/>
        </w:rPr>
        <w:t>2.3 Comparative Dimensions and Unit of Analysis</w:t>
      </w:r>
    </w:p>
    <w:p>
      <w:pPr>
        <w:spacing w:line="480" w:lineRule="auto" w:before="0" w:after="0"/>
        <w:ind w:firstLine="720"/>
      </w:pPr>
      <w:r>
        <w:rPr>
          <w:rFonts w:ascii="Times New Roman" w:hAnsi="Times New Roman" w:eastAsia="SimSun"/>
          <w:b w:val="0"/>
          <w:i w:val="0"/>
          <w:sz w:val="24"/>
        </w:rPr>
        <w:t>The comparison proceeds along six dimensions, with a cross-cutting synthesis in Sections 9 and 10. The unit of analysis is the "mobility mechanism of professional support," not the "job title." Where scale data are involved and the three countries use different counting conventions, this study does not conduct numerical cross-national comparison, in order to avoid manufacturing false comparability.</w:t>
      </w:r>
    </w:p>
    <w:p>
      <w:pPr>
        <w:pStyle w:val="Heading1"/>
      </w:pPr>
      <w:r>
        <w:rPr>
          <w:rFonts w:ascii="Times New Roman" w:hAnsi="Times New Roman" w:eastAsia="SimSun"/>
        </w:rPr>
        <w:t>3. Institutional Positioning and Conceptual Equivalence</w:t>
      </w:r>
    </w:p>
    <w:p>
      <w:pPr>
        <w:pStyle w:val="Heading2"/>
      </w:pPr>
      <w:r>
        <w:rPr>
          <w:rFonts w:ascii="Times New Roman" w:hAnsi="Times New Roman" w:eastAsia="SimSun"/>
        </w:rPr>
        <w:t>3.1 China: A Specialist Post Radiating Outward from Resource Centres</w:t>
      </w:r>
    </w:p>
    <w:p>
      <w:pPr>
        <w:spacing w:line="480" w:lineRule="auto" w:before="0" w:after="0"/>
        <w:ind w:firstLine="720"/>
      </w:pPr>
      <w:r>
        <w:rPr>
          <w:rFonts w:ascii="Times New Roman" w:hAnsi="Times New Roman" w:eastAsia="SimSun"/>
          <w:b w:val="0"/>
          <w:i w:val="0"/>
          <w:sz w:val="24"/>
        </w:rPr>
        <w:t xml:space="preserve">The 2020 </w:t>
      </w:r>
      <w:r>
        <w:rPr>
          <w:rFonts w:ascii="Times New Roman" w:hAnsi="Times New Roman" w:eastAsia="SimSun"/>
          <w:b w:val="0"/>
          <w:i/>
          <w:sz w:val="24"/>
        </w:rPr>
        <w:t>Guiding Opinions on Strengthening Learning in Regular Classrooms for Children and Adolescents with Disabilities at the Compulsory Education Stage</w:t>
      </w:r>
      <w:r>
        <w:rPr>
          <w:rFonts w:ascii="Times New Roman" w:hAnsi="Times New Roman" w:eastAsia="SimSun"/>
          <w:b w:val="0"/>
          <w:i w:val="0"/>
          <w:sz w:val="24"/>
        </w:rPr>
        <w:t xml:space="preserve"> requires accelerated development of provincial, municipal, and county-level special education resource centres, and specifies that resource centres shall provide "itinerant guidance, teacher training, and quality evaluation" to mainstream schools enrolling such students, as well as professional consultation to schools and parents. Schools enrolling five or more students with disabilities shall establish a resource room and assign a resource teacher or specialist (MOE China, 2020). This provision is the core policy anchor of the present study and simultaneously clarifies the division between two roles: </w:t>
      </w:r>
      <w:r>
        <w:rPr>
          <w:rFonts w:ascii="Times New Roman" w:hAnsi="Times New Roman" w:eastAsia="SimSun"/>
          <w:b/>
          <w:i w:val="0"/>
          <w:sz w:val="24"/>
        </w:rPr>
        <w:t>the resource teacher is school-based and serves the home school; the itinerant guidance teacher is deployed outward from the resource centre and provides cross-school supervision</w:t>
      </w:r>
      <w:r>
        <w:rPr>
          <w:rFonts w:ascii="Times New Roman" w:hAnsi="Times New Roman" w:eastAsia="SimSun"/>
          <w:b w:val="0"/>
          <w:i w:val="0"/>
          <w:sz w:val="24"/>
        </w:rPr>
        <w:t>. The two are complementary, not identical.</w:t>
      </w:r>
    </w:p>
    <w:p>
      <w:pPr>
        <w:spacing w:line="480" w:lineRule="auto" w:before="0" w:after="0"/>
        <w:ind w:firstLine="720"/>
      </w:pPr>
      <w:r>
        <w:rPr>
          <w:rFonts w:ascii="Times New Roman" w:hAnsi="Times New Roman" w:eastAsia="SimSun"/>
          <w:b w:val="0"/>
          <w:i w:val="0"/>
          <w:sz w:val="24"/>
        </w:rPr>
        <w:t xml:space="preserve">Lower levels of government have further refined staffing standards. Shanghai's Pudong New Area requires its district special education guidance centre to be staffed with no fewer than 10 full-time itinerant guidance teachers, responsible for guiding schools through identification, placement, instruction, and transition (Pudong Education Bureau, 2023). Shenzhen's Bao'an District has the district resource centre administer staffing centrally, dispatching special education teachers, occupational therapists, speech-language therapists, physiotherapists, and behaviour specialists according to need (Bao'an Education Bureau, 2023). This indicates that "itinerancy" in China has evolved from a single teacher's visits into </w:t>
      </w:r>
      <w:r>
        <w:rPr>
          <w:rFonts w:ascii="Times New Roman" w:hAnsi="Times New Roman" w:eastAsia="SimSun"/>
          <w:b/>
          <w:i w:val="0"/>
          <w:sz w:val="24"/>
        </w:rPr>
        <w:t>regional dispatch of professional resources</w:t>
      </w:r>
      <w:r>
        <w:rPr>
          <w:rFonts w:ascii="Times New Roman" w:hAnsi="Times New Roman" w:eastAsia="SimSun"/>
          <w:b w:val="0"/>
          <w:i w:val="0"/>
          <w:sz w:val="24"/>
        </w:rPr>
        <w:t>.</w:t>
      </w:r>
    </w:p>
    <w:p>
      <w:pPr>
        <w:pStyle w:val="Heading2"/>
      </w:pPr>
      <w:r>
        <w:rPr>
          <w:rFonts w:ascii="Times New Roman" w:hAnsi="Times New Roman" w:eastAsia="SimSun"/>
        </w:rPr>
        <w:t>3.2 Malaysia: School-Based Integration Dominant, Regional Outreach Expanding</w:t>
      </w:r>
    </w:p>
    <w:p>
      <w:pPr>
        <w:spacing w:line="480" w:lineRule="auto" w:before="0" w:after="0"/>
        <w:ind w:firstLine="720"/>
      </w:pPr>
      <w:r>
        <w:rPr>
          <w:rFonts w:ascii="Times New Roman" w:hAnsi="Times New Roman" w:eastAsia="SimSun"/>
          <w:b w:val="0"/>
          <w:i w:val="0"/>
          <w:sz w:val="24"/>
        </w:rPr>
        <w:t>Malaysia has long used PPKI to place integrated special education classes within mainstream schools; Guru Pendidikan Khas serve students with learning disabilities, hearing impairments, visual impairments, and other categories. Program Inklusif seeks to enable students with special educational needs (MBK/OKU) to learn in regular classes rather than being concentrated in PPKI classes. The 2025 operational guidelines for special education service centres (KPM SPI Bil. 2 Tahun 2025, as cited in the media) indicate that 3PK should undertake screening, assessment, intervention, rehabilitation, and consultation, and serve students, teachers, parents, and the community through interdisciplinary teams (China Education Daily, 2025).</w:t>
      </w:r>
    </w:p>
    <w:p>
      <w:pPr>
        <w:spacing w:line="480" w:lineRule="auto" w:before="0" w:after="0"/>
        <w:ind w:firstLine="720"/>
      </w:pPr>
      <w:r>
        <w:rPr>
          <w:rFonts w:ascii="Times New Roman" w:hAnsi="Times New Roman" w:eastAsia="SimSun"/>
          <w:b w:val="0"/>
          <w:i w:val="0"/>
          <w:sz w:val="24"/>
        </w:rPr>
        <w:t xml:space="preserve">It must be emphasised that </w:t>
      </w:r>
      <w:r>
        <w:rPr>
          <w:rFonts w:ascii="Times New Roman" w:hAnsi="Times New Roman" w:eastAsia="SimSun"/>
          <w:b/>
          <w:i w:val="0"/>
          <w:sz w:val="24"/>
        </w:rPr>
        <w:t>this study located no KPM national document that explicitly stipulates an itinerant teacher establishment, cross-school service frequency, statutory clientele, or appraisal indicators</w:t>
      </w:r>
      <w:r>
        <w:rPr>
          <w:rFonts w:ascii="Times New Roman" w:hAnsi="Times New Roman" w:eastAsia="SimSun"/>
          <w:b w:val="0"/>
          <w:i w:val="0"/>
          <w:sz w:val="24"/>
        </w:rPr>
        <w:t>. Malaysia is therefore treated in the comparison as "school-based support teachers plus regional service-centre outreach," with evidence graded A/C; local pilots or media descriptions cannot be extrapolated to the national level.</w:t>
      </w:r>
    </w:p>
    <w:p>
      <w:pPr>
        <w:pStyle w:val="Heading2"/>
      </w:pPr>
      <w:r>
        <w:rPr>
          <w:rFonts w:ascii="Times New Roman" w:hAnsi="Times New Roman" w:eastAsia="SimSun"/>
        </w:rPr>
        <w:t>3.3 Singapore: School-Based Embedding Dominant, Services on Two Tracks</w:t>
      </w:r>
    </w:p>
    <w:p>
      <w:pPr>
        <w:spacing w:line="480" w:lineRule="auto" w:before="0" w:after="0"/>
        <w:ind w:firstLine="720"/>
      </w:pPr>
      <w:r>
        <w:rPr>
          <w:rFonts w:ascii="Times New Roman" w:hAnsi="Times New Roman" w:eastAsia="SimSun"/>
          <w:b w:val="0"/>
          <w:i w:val="0"/>
          <w:sz w:val="24"/>
        </w:rPr>
        <w:t>MOE Singapore places AED(LBS) in mainstream schools and provides educational psychology services, school counsellors, and learning support teams; government-funded SPED schools serve students with moderate to severe needs. Mainstream schools reportedly receive additional support at approximately 150% of base funding per student with needs, and SPED schools at 300% (China Education Daily, 2022). This is a funding coefficient tied to student need, however, not a headcount or establishment policy for "cross-school itinerancy," and it cannot be directly compared with China's itinerant establishment. What comes closest to "mobile support" in Singapore is the linkage of information and individual cases across service nodes, rather than the geographic travel of teachers between mainstream schools.</w:t>
      </w:r>
    </w:p>
    <w:p>
      <w:pPr>
        <w:pStyle w:val="Heading2"/>
      </w:pPr>
      <w:r>
        <w:rPr>
          <w:rFonts w:ascii="Times New Roman" w:hAnsi="Times New Roman" w:eastAsia="SimSun"/>
        </w:rPr>
        <w:t>3.4 Comparative Table of Institutional Configurations</w:t>
      </w:r>
    </w:p>
    <w:tbl>
      <w:tblPr>
        <w:tblW w:type="dxa" w:w="9026"/>
        <w:jc w:val="left"/>
        <w:tblBorders>
          <w:top w:val="single" w:sz="4" w:color="CCCCCC"/>
          <w:left w:val="single" w:sz="4" w:color="CCCCCC"/>
          <w:bottom w:val="single" w:sz="4" w:color="CCCCCC"/>
          <w:right w:val="single" w:sz="4" w:color="CCCCCC"/>
          <w:insideH w:val="single" w:sz="4" w:color="CCCCCC"/>
          <w:insideV w:val="single" w:sz="4" w:color="CCCCCC"/>
        </w:tblBorders>
        <w:tblLayout w:type="fixed"/>
        <w:tblLook w:firstColumn="1" w:firstRow="1" w:lastColumn="0" w:lastRow="0" w:noHBand="0" w:noVBand="1" w:val="04A0"/>
      </w:tblPr>
      <w:tblGrid>
        <w:gridCol w:w="2256"/>
        <w:gridCol w:w="2256"/>
        <w:gridCol w:w="2256"/>
        <w:gridCol w:w="2258"/>
      </w:tblGrid>
      <w:tr>
        <w:tc>
          <w:tcPr>
            <w:tcW w:type="dxa" w:w="2256"/>
            <w:shd w:val="clear" w:color="auto" w:fill="D9D9D9"/>
          </w:tcPr>
          <w:p>
            <w:pPr>
              <w:spacing w:line="240" w:lineRule="auto" w:before="40" w:after="40"/>
            </w:pPr>
            <w:r>
              <w:rPr>
                <w:rFonts w:eastAsia="SimSun" w:ascii="Times New Roman" w:hAnsi="Times New Roman" w:cs="Times New Roman"/>
                <w:b/>
                <w:bCs/>
                <w:sz w:val="18"/>
              </w:rPr>
              <w:t>Functional layer</w:t>
            </w:r>
          </w:p>
        </w:tc>
        <w:tc>
          <w:tcPr>
            <w:tcW w:type="dxa" w:w="2256"/>
            <w:shd w:val="clear" w:color="auto" w:fill="D9D9D9"/>
          </w:tcPr>
          <w:p>
            <w:pPr>
              <w:spacing w:line="240" w:lineRule="auto" w:before="40" w:after="40"/>
            </w:pPr>
            <w:r>
              <w:rPr>
                <w:rFonts w:eastAsia="SimSun" w:ascii="Times New Roman" w:hAnsi="Times New Roman" w:cs="Times New Roman"/>
                <w:b/>
                <w:bCs/>
                <w:sz w:val="18"/>
              </w:rPr>
              <w:t>China</w:t>
            </w:r>
          </w:p>
        </w:tc>
        <w:tc>
          <w:tcPr>
            <w:tcW w:type="dxa" w:w="2256"/>
            <w:shd w:val="clear" w:color="auto" w:fill="D9D9D9"/>
          </w:tcPr>
          <w:p>
            <w:pPr>
              <w:spacing w:line="240" w:lineRule="auto" w:before="40" w:after="40"/>
            </w:pPr>
            <w:r>
              <w:rPr>
                <w:rFonts w:eastAsia="SimSun" w:ascii="Times New Roman" w:hAnsi="Times New Roman" w:cs="Times New Roman"/>
                <w:b/>
                <w:bCs/>
                <w:sz w:val="18"/>
              </w:rPr>
              <w:t>Malaysia</w:t>
            </w:r>
          </w:p>
        </w:tc>
        <w:tc>
          <w:tcPr>
            <w:tcW w:type="dxa" w:w="2258"/>
            <w:shd w:val="clear" w:color="auto" w:fill="D9D9D9"/>
          </w:tcPr>
          <w:p>
            <w:pPr>
              <w:spacing w:line="240" w:lineRule="auto" w:before="40" w:after="40"/>
            </w:pPr>
            <w:r>
              <w:rPr>
                <w:rFonts w:eastAsia="SimSun" w:ascii="Times New Roman" w:hAnsi="Times New Roman" w:cs="Times New Roman"/>
                <w:b/>
                <w:bCs/>
                <w:sz w:val="18"/>
              </w:rPr>
              <w:t>Singapore</w:t>
            </w:r>
          </w:p>
        </w:tc>
      </w:tr>
      <w:tr>
        <w:tc>
          <w:tcPr>
            <w:tcW w:type="dxa" w:w="2256"/>
          </w:tcPr>
          <w:p>
            <w:pPr>
              <w:spacing w:line="240" w:lineRule="auto" w:before="40" w:after="40"/>
            </w:pPr>
            <w:r>
              <w:rPr>
                <w:rFonts w:eastAsia="SimSun" w:ascii="Times New Roman" w:hAnsi="Times New Roman" w:cs="Times New Roman"/>
                <w:sz w:val="18"/>
              </w:rPr>
              <w:t>Direct in-school support</w:t>
            </w:r>
          </w:p>
        </w:tc>
        <w:tc>
          <w:tcPr>
            <w:tcW w:type="dxa" w:w="2256"/>
          </w:tcPr>
          <w:p>
            <w:pPr>
              <w:spacing w:line="240" w:lineRule="auto" w:before="40" w:after="40"/>
            </w:pPr>
            <w:r>
              <w:rPr>
                <w:rFonts w:eastAsia="SimSun" w:ascii="Times New Roman" w:hAnsi="Times New Roman" w:cs="Times New Roman"/>
                <w:sz w:val="18"/>
              </w:rPr>
              <w:t>Regular class teacher, resource teacher</w:t>
            </w:r>
          </w:p>
        </w:tc>
        <w:tc>
          <w:tcPr>
            <w:tcW w:type="dxa" w:w="2256"/>
          </w:tcPr>
          <w:p>
            <w:pPr>
              <w:spacing w:line="240" w:lineRule="auto" w:before="40" w:after="40"/>
            </w:pPr>
            <w:r>
              <w:rPr>
                <w:rFonts w:eastAsia="SimSun" w:ascii="Times New Roman" w:hAnsi="Times New Roman" w:cs="Times New Roman"/>
                <w:sz w:val="18"/>
              </w:rPr>
              <w:t>PPKI / Guru Pendidikan Khas, regular class teacher</w:t>
            </w:r>
          </w:p>
        </w:tc>
        <w:tc>
          <w:tcPr>
            <w:tcW w:type="dxa" w:w="2258"/>
          </w:tcPr>
          <w:p>
            <w:pPr>
              <w:spacing w:line="240" w:lineRule="auto" w:before="40" w:after="40"/>
            </w:pPr>
            <w:r>
              <w:rPr>
                <w:rFonts w:eastAsia="SimSun" w:ascii="Times New Roman" w:hAnsi="Times New Roman" w:cs="Times New Roman"/>
                <w:sz w:val="18"/>
              </w:rPr>
              <w:t>AED(LBS), subject teachers, learning/behaviour support teams</w:t>
            </w:r>
          </w:p>
        </w:tc>
      </w:tr>
      <w:tr>
        <w:tc>
          <w:tcPr>
            <w:tcW w:type="dxa" w:w="2256"/>
          </w:tcPr>
          <w:p>
            <w:pPr>
              <w:spacing w:line="240" w:lineRule="auto" w:before="40" w:after="40"/>
            </w:pPr>
            <w:r>
              <w:rPr>
                <w:rFonts w:eastAsia="SimSun" w:ascii="Times New Roman" w:hAnsi="Times New Roman" w:cs="Times New Roman"/>
                <w:sz w:val="18"/>
              </w:rPr>
              <w:t>Cross-school or regional outreach</w:t>
            </w:r>
          </w:p>
        </w:tc>
        <w:tc>
          <w:tcPr>
            <w:tcW w:type="dxa" w:w="2256"/>
          </w:tcPr>
          <w:p>
            <w:pPr>
              <w:spacing w:line="240" w:lineRule="auto" w:before="40" w:after="40"/>
            </w:pPr>
            <w:r>
              <w:rPr>
                <w:rFonts w:eastAsia="SimSun" w:ascii="Times New Roman" w:hAnsi="Times New Roman" w:cs="Times New Roman"/>
                <w:sz w:val="18"/>
              </w:rPr>
              <w:t>Itinerant guidance teacher / resource centre</w:t>
            </w:r>
          </w:p>
        </w:tc>
        <w:tc>
          <w:tcPr>
            <w:tcW w:type="dxa" w:w="2256"/>
          </w:tcPr>
          <w:p>
            <w:pPr>
              <w:spacing w:line="240" w:lineRule="auto" w:before="40" w:after="40"/>
            </w:pPr>
            <w:r>
              <w:rPr>
                <w:rFonts w:eastAsia="SimSun" w:ascii="Times New Roman" w:hAnsi="Times New Roman" w:cs="Times New Roman"/>
                <w:sz w:val="18"/>
              </w:rPr>
              <w:t>3PK, service-centre outreach; nationwide "itinerancy" unconfirmed</w:t>
            </w:r>
          </w:p>
        </w:tc>
        <w:tc>
          <w:tcPr>
            <w:tcW w:type="dxa" w:w="2258"/>
          </w:tcPr>
          <w:p>
            <w:pPr>
              <w:spacing w:line="240" w:lineRule="auto" w:before="40" w:after="40"/>
            </w:pPr>
            <w:r>
              <w:rPr>
                <w:rFonts w:eastAsia="SimSun" w:ascii="Times New Roman" w:hAnsi="Times New Roman" w:cs="Times New Roman"/>
                <w:sz w:val="18"/>
              </w:rPr>
              <w:t>No fully isomorphic official post; service-node linkage</w:t>
            </w:r>
          </w:p>
        </w:tc>
      </w:tr>
      <w:tr>
        <w:tc>
          <w:tcPr>
            <w:tcW w:type="dxa" w:w="2256"/>
          </w:tcPr>
          <w:p>
            <w:pPr>
              <w:spacing w:line="240" w:lineRule="auto" w:before="40" w:after="40"/>
            </w:pPr>
            <w:r>
              <w:rPr>
                <w:rFonts w:eastAsia="SimSun" w:ascii="Times New Roman" w:hAnsi="Times New Roman" w:cs="Times New Roman"/>
                <w:sz w:val="18"/>
              </w:rPr>
              <w:t>Individualised plan</w:t>
            </w:r>
          </w:p>
        </w:tc>
        <w:tc>
          <w:tcPr>
            <w:tcW w:type="dxa" w:w="2256"/>
          </w:tcPr>
          <w:p>
            <w:pPr>
              <w:spacing w:line="240" w:lineRule="auto" w:before="40" w:after="40"/>
            </w:pPr>
            <w:r>
              <w:rPr>
                <w:rFonts w:eastAsia="SimSun" w:ascii="Times New Roman" w:hAnsi="Times New Roman" w:cs="Times New Roman"/>
                <w:sz w:val="18"/>
              </w:rPr>
              <w:t>Individualised education/teaching plan, "one student, one plan"</w:t>
            </w:r>
          </w:p>
        </w:tc>
        <w:tc>
          <w:tcPr>
            <w:tcW w:type="dxa" w:w="2256"/>
          </w:tcPr>
          <w:p>
            <w:pPr>
              <w:spacing w:line="240" w:lineRule="auto" w:before="40" w:after="40"/>
            </w:pPr>
            <w:r>
              <w:rPr>
                <w:rFonts w:eastAsia="SimSun" w:ascii="Times New Roman" w:hAnsi="Times New Roman" w:cs="Times New Roman"/>
                <w:sz w:val="18"/>
              </w:rPr>
              <w:t>Pelan Pendidikan Individu (PPI)</w:t>
            </w:r>
          </w:p>
        </w:tc>
        <w:tc>
          <w:tcPr>
            <w:tcW w:type="dxa" w:w="2258"/>
          </w:tcPr>
          <w:p>
            <w:pPr>
              <w:spacing w:line="240" w:lineRule="auto" w:before="40" w:after="40"/>
            </w:pPr>
            <w:r>
              <w:rPr>
                <w:rFonts w:eastAsia="SimSun" w:ascii="Times New Roman" w:hAnsi="Times New Roman" w:cs="Times New Roman"/>
                <w:sz w:val="18"/>
              </w:rPr>
              <w:t>IEP or individualised transition plan; terminology varies by setting</w:t>
            </w:r>
          </w:p>
        </w:tc>
      </w:tr>
      <w:tr>
        <w:tc>
          <w:tcPr>
            <w:tcW w:type="dxa" w:w="2256"/>
          </w:tcPr>
          <w:p>
            <w:pPr>
              <w:spacing w:line="240" w:lineRule="auto" w:before="40" w:after="40"/>
            </w:pPr>
            <w:r>
              <w:rPr>
                <w:rFonts w:eastAsia="SimSun" w:ascii="Times New Roman" w:hAnsi="Times New Roman" w:cs="Times New Roman"/>
                <w:sz w:val="18"/>
              </w:rPr>
              <w:t>Placement and escalation</w:t>
            </w:r>
          </w:p>
        </w:tc>
        <w:tc>
          <w:tcPr>
            <w:tcW w:type="dxa" w:w="2256"/>
          </w:tcPr>
          <w:p>
            <w:pPr>
              <w:spacing w:line="240" w:lineRule="auto" w:before="40" w:after="40"/>
            </w:pPr>
            <w:r>
              <w:rPr>
                <w:rFonts w:eastAsia="SimSun" w:ascii="Times New Roman" w:hAnsi="Times New Roman" w:cs="Times New Roman"/>
                <w:sz w:val="18"/>
              </w:rPr>
              <w:t>County-level expert committee coordinates</w:t>
            </w:r>
          </w:p>
        </w:tc>
        <w:tc>
          <w:tcPr>
            <w:tcW w:type="dxa" w:w="2256"/>
          </w:tcPr>
          <w:p>
            <w:pPr>
              <w:spacing w:line="240" w:lineRule="auto" w:before="40" w:after="40"/>
            </w:pPr>
            <w:r>
              <w:rPr>
                <w:rFonts w:eastAsia="SimSun" w:ascii="Times New Roman" w:hAnsi="Times New Roman" w:cs="Times New Roman"/>
                <w:sz w:val="18"/>
              </w:rPr>
              <w:t>PPKI / regular class placement and support services</w:t>
            </w:r>
          </w:p>
        </w:tc>
        <w:tc>
          <w:tcPr>
            <w:tcW w:type="dxa" w:w="2258"/>
          </w:tcPr>
          <w:p>
            <w:pPr>
              <w:spacing w:line="240" w:lineRule="auto" w:before="40" w:after="40"/>
            </w:pPr>
            <w:r>
              <w:rPr>
                <w:rFonts w:eastAsia="SimSun" w:ascii="Times New Roman" w:hAnsi="Times New Roman" w:cs="Times New Roman"/>
                <w:sz w:val="18"/>
              </w:rPr>
              <w:t>Mainstream–SPED pathways and case-level support</w:t>
            </w:r>
          </w:p>
        </w:tc>
      </w:tr>
      <w:tr>
        <w:tc>
          <w:tcPr>
            <w:tcW w:type="dxa" w:w="2256"/>
          </w:tcPr>
          <w:p>
            <w:pPr>
              <w:spacing w:line="240" w:lineRule="auto" w:before="40" w:after="40"/>
            </w:pPr>
            <w:r>
              <w:rPr>
                <w:rFonts w:eastAsia="SimSun" w:ascii="Times New Roman" w:hAnsi="Times New Roman" w:cs="Times New Roman"/>
                <w:sz w:val="18"/>
              </w:rPr>
              <w:t>Core difference</w:t>
            </w:r>
          </w:p>
        </w:tc>
        <w:tc>
          <w:tcPr>
            <w:tcW w:type="dxa" w:w="2256"/>
          </w:tcPr>
          <w:p>
            <w:pPr>
              <w:spacing w:line="240" w:lineRule="auto" w:before="40" w:after="40"/>
            </w:pPr>
            <w:r>
              <w:rPr>
                <w:rFonts w:eastAsia="SimSun" w:ascii="Times New Roman" w:hAnsi="Times New Roman" w:cs="Times New Roman"/>
                <w:sz w:val="18"/>
              </w:rPr>
              <w:t>Clear layering: centre–itinerant–school</w:t>
            </w:r>
          </w:p>
        </w:tc>
        <w:tc>
          <w:tcPr>
            <w:tcW w:type="dxa" w:w="2256"/>
          </w:tcPr>
          <w:p>
            <w:pPr>
              <w:spacing w:line="240" w:lineRule="auto" w:before="40" w:after="40"/>
            </w:pPr>
            <w:r>
              <w:rPr>
                <w:rFonts w:eastAsia="SimSun" w:ascii="Times New Roman" w:hAnsi="Times New Roman" w:cs="Times New Roman"/>
                <w:sz w:val="18"/>
              </w:rPr>
              <w:t>School-based integration dominant; regional outreach expanding</w:t>
            </w:r>
          </w:p>
        </w:tc>
        <w:tc>
          <w:tcPr>
            <w:tcW w:type="dxa" w:w="2258"/>
          </w:tcPr>
          <w:p>
            <w:pPr>
              <w:spacing w:line="240" w:lineRule="auto" w:before="40" w:after="40"/>
            </w:pPr>
            <w:r>
              <w:rPr>
                <w:rFonts w:eastAsia="SimSun" w:ascii="Times New Roman" w:hAnsi="Times New Roman" w:cs="Times New Roman"/>
                <w:sz w:val="18"/>
              </w:rPr>
              <w:t>School-based embedding dominant; services on two tracks</w:t>
            </w:r>
          </w:p>
        </w:tc>
      </w:tr>
    </w:tbl>
    <w:p>
      <w:pPr>
        <w:spacing w:line="240" w:lineRule="auto"/>
      </w:pPr>
      <w:r>
        <w:rPr>
          <w:sz w:val="12"/>
        </w:rPr>
      </w:r>
    </w:p>
    <w:p>
      <w:pPr>
        <w:spacing w:line="240" w:lineRule="auto"/>
        <w:jc w:val="center"/>
      </w:pPr>
      <w:r>
        <w:drawing>
          <wp:inline xmlns:a="http://schemas.openxmlformats.org/drawingml/2006/main" xmlns:pic="http://schemas.openxmlformats.org/drawingml/2006/picture">
            <wp:extent cx="4937760" cy="2529545"/>
            <wp:docPr id="1" name="fig_1_role_config_en.png" title="fig_1_role_config_en.png" descr="fig_1_role_config_en.png"/>
            <wp:cNvGraphicFramePr>
              <a:graphicFrameLocks noChangeAspect="1"/>
            </wp:cNvGraphicFramePr>
            <a:graphic>
              <a:graphicData uri="http://schemas.openxmlformats.org/drawingml/2006/picture">
                <pic:pic>
                  <pic:nvPicPr>
                    <pic:cNvPr id="0" name="fig_1_role_config_en.png"/>
                    <pic:cNvPicPr/>
                  </pic:nvPicPr>
                  <pic:blipFill>
                    <a:blip r:embed="rId9"/>
                    <a:stretch>
                      <a:fillRect/>
                    </a:stretch>
                  </pic:blipFill>
                  <pic:spPr>
                    <a:xfrm>
                      <a:off x="0" y="0"/>
                      <a:ext cx="4937760" cy="2529545"/>
                    </a:xfrm>
                    <a:prstGeom prst="rect"/>
                  </pic:spPr>
                </pic:pic>
              </a:graphicData>
            </a:graphic>
          </wp:inline>
        </w:drawing>
      </w:r>
    </w:p>
    <w:p>
      <w:pPr>
        <w:spacing w:line="360" w:lineRule="auto" w:before="0" w:after="240"/>
      </w:pPr>
      <w:r>
        <w:rPr>
          <w:rFonts w:ascii="Times New Roman" w:hAnsi="Times New Roman" w:eastAsia="SimSun"/>
          <w:b w:val="0"/>
          <w:i/>
          <w:sz w:val="21"/>
        </w:rPr>
        <w:t>Figure 1. Relative intensity of cross-school mobility, specialist qualification thresholds, and cross-professional collaboration in the three systems. Cross-school mobility is coded high for China, medium for Malaysia, and low for Singapore. On qualification thresholds, both China and Malaysia have dedicated teacher-training pathways, while Singapore has an additional dedicated development pathway for SPED teachers. Cross-professional collaboration is a shared direction in all three. Data sources: MOE China (2020, 2022a); authoritative relay of Malaysian ministry guidelines (China Education Daily, 2025); authoritative reporting of MOE Singapore public materials (China Education Daily, 2022).</w:t>
      </w:r>
    </w:p>
    <w:p>
      <w:pPr>
        <w:pStyle w:val="Heading2"/>
      </w:pPr>
      <w:r>
        <w:rPr>
          <w:rFonts w:ascii="Times New Roman" w:hAnsi="Times New Roman" w:eastAsia="SimSun"/>
        </w:rPr>
        <w:t>3.5 Comparison Summary</w:t>
      </w:r>
    </w:p>
    <w:p>
      <w:pPr>
        <w:spacing w:line="480" w:lineRule="auto" w:before="0" w:after="0"/>
        <w:ind w:firstLine="720"/>
      </w:pPr>
      <w:r>
        <w:rPr>
          <w:rFonts w:ascii="Times New Roman" w:hAnsi="Times New Roman" w:eastAsia="SimSun"/>
          <w:b w:val="0"/>
          <w:i w:val="0"/>
          <w:sz w:val="24"/>
        </w:rPr>
        <w:t xml:space="preserve">All three systems acknowledge that the regular classroom cannot by itself meet every special educational need, and all three have stationed specialist support personnel. The difference lies in </w:t>
      </w:r>
      <w:r>
        <w:rPr>
          <w:rFonts w:ascii="Times New Roman" w:hAnsi="Times New Roman" w:eastAsia="SimSun"/>
          <w:b/>
          <w:i w:val="0"/>
          <w:sz w:val="24"/>
        </w:rPr>
        <w:t>where that professional support is organisationally located</w:t>
      </w:r>
      <w:r>
        <w:rPr>
          <w:rFonts w:ascii="Times New Roman" w:hAnsi="Times New Roman" w:eastAsia="SimSun"/>
          <w:b w:val="0"/>
          <w:i w:val="0"/>
          <w:sz w:val="24"/>
        </w:rPr>
        <w:t>. China concentrates professional authority in county-level resource centres, producing a chain of responsibility that can be supervised and appraised. Malaysia places professional capacity inside schools and in regional service centres, and is expanding from "classes" to "classes plus regular-class support." Singapore embeds professional capacity in schools and relies on a well-developed social service network to accomplish transitions. Similarity of job titles does not imply institutional equivalence; conflating the "resource teacher" with the "itinerant guidance teacher" in particular obscures differences in organisational authority and responsibility boundaries (D).</w:t>
      </w:r>
    </w:p>
    <w:p>
      <w:pPr>
        <w:spacing w:line="360" w:lineRule="auto" w:before="0" w:after="120"/>
      </w:pPr>
      <w:r>
        <w:rPr>
          <w:rFonts w:ascii="Times New Roman" w:hAnsi="Times New Roman" w:eastAsia="SimSun"/>
          <w:b w:val="0"/>
          <w:i/>
          <w:sz w:val="21"/>
        </w:rPr>
        <w:t>Evidence strength note: institutional positioning is A for China, mixed A/C for Malaysia, A/C for Singapore; the judgement on cross-national equivalence is D.</w:t>
      </w:r>
    </w:p>
    <w:p>
      <w:pPr>
        <w:pStyle w:val="Heading1"/>
      </w:pPr>
      <w:r>
        <w:rPr>
          <w:rFonts w:ascii="Times New Roman" w:hAnsi="Times New Roman" w:eastAsia="SimSun"/>
        </w:rPr>
        <w:t>4. Legal and Policy Genealogy</w:t>
      </w:r>
    </w:p>
    <w:p>
      <w:pPr>
        <w:pStyle w:val="Heading2"/>
      </w:pPr>
      <w:r>
        <w:rPr>
          <w:rFonts w:ascii="Times New Roman" w:hAnsi="Times New Roman" w:eastAsia="SimSun"/>
        </w:rPr>
        <w:t>4.1 China: A Dual Administrative and Professional Transmission Chain</w:t>
      </w:r>
    </w:p>
    <w:p>
      <w:pPr>
        <w:spacing w:line="480" w:lineRule="auto" w:before="0" w:after="0"/>
        <w:ind w:firstLine="720"/>
      </w:pPr>
      <w:r>
        <w:rPr>
          <w:rFonts w:ascii="Times New Roman" w:hAnsi="Times New Roman" w:eastAsia="SimSun"/>
          <w:b w:val="0"/>
          <w:i w:val="0"/>
          <w:sz w:val="24"/>
        </w:rPr>
        <w:t xml:space="preserve">The </w:t>
      </w:r>
      <w:r>
        <w:rPr>
          <w:rFonts w:ascii="Times New Roman" w:hAnsi="Times New Roman" w:eastAsia="SimSun"/>
          <w:b w:val="0"/>
          <w:i/>
          <w:sz w:val="24"/>
        </w:rPr>
        <w:t>Regulations on Education for Persons with Disabilities</w:t>
      </w:r>
      <w:r>
        <w:rPr>
          <w:rFonts w:ascii="Times New Roman" w:hAnsi="Times New Roman" w:eastAsia="SimSun"/>
          <w:b w:val="0"/>
          <w:i w:val="0"/>
          <w:sz w:val="24"/>
        </w:rPr>
        <w:t xml:space="preserve"> provide that ordinary education shall be the preferred mode, authorise county-level education administrative departments to designate mainstream schools with adequate resources and conditions within a given area, and require teacher-education programmes in general and comprehensive universities to offer special education courses (State Council, 2017). The 2020 guiding opinions further require county-level expert committees on education for persons with disabilities to conduct comprehensive assessment of students' physical condition and educational adaptability, require county education departments to maintain work records, and require coordination with development and reform, civil affairs, finance, health, and disabled persons' federation authorities (MOE China, 2020). The 2022 </w:t>
      </w:r>
      <w:r>
        <w:rPr>
          <w:rFonts w:ascii="Times New Roman" w:hAnsi="Times New Roman" w:eastAsia="SimSun"/>
          <w:b w:val="0"/>
          <w:i/>
          <w:sz w:val="24"/>
        </w:rPr>
        <w:t>Guidelines for Quality Evaluation of Special Education Provision</w:t>
      </w:r>
      <w:r>
        <w:rPr>
          <w:rFonts w:ascii="Times New Roman" w:hAnsi="Times New Roman" w:eastAsia="SimSun"/>
          <w:b w:val="0"/>
          <w:i w:val="0"/>
          <w:sz w:val="24"/>
        </w:rPr>
        <w:t xml:space="preserve"> divide evaluation into five categories—government responsibility, curriculum and instruction, teaching workforce, school management, and student development—forming a supervisory "baton" (MOE China, 2022a).</w:t>
      </w:r>
    </w:p>
    <w:p>
      <w:pPr>
        <w:spacing w:line="480" w:lineRule="auto" w:before="0" w:after="0"/>
        <w:ind w:firstLine="720"/>
      </w:pPr>
      <w:r>
        <w:rPr>
          <w:rFonts w:ascii="Times New Roman" w:hAnsi="Times New Roman" w:eastAsia="SimSun"/>
          <w:b w:val="0"/>
          <w:i w:val="0"/>
          <w:sz w:val="24"/>
        </w:rPr>
        <w:t xml:space="preserve">China's policy transmission is therefore a </w:t>
      </w:r>
      <w:r>
        <w:rPr>
          <w:rFonts w:ascii="Times New Roman" w:hAnsi="Times New Roman" w:eastAsia="SimSun"/>
          <w:b/>
          <w:i w:val="0"/>
          <w:sz w:val="24"/>
        </w:rPr>
        <w:t>dual administrative and professional chain</w:t>
      </w:r>
      <w:r>
        <w:rPr>
          <w:rFonts w:ascii="Times New Roman" w:hAnsi="Times New Roman" w:eastAsia="SimSun"/>
          <w:b w:val="0"/>
          <w:i w:val="0"/>
          <w:sz w:val="24"/>
        </w:rPr>
        <w:t>: "centre–province–city/county–resource centre–school." Its strength is that it converts "appropriate inclusion" into responsibilities at both county and school levels. Its weakness is that the establishment size, cross-school service volume, transport provisions, remuneration, and appraisal of itinerant teachers are all specified locally, so institutional maturity may differ substantially between Shanghai's Pudong and Shenzhen's Bao'an on the one hand and counties in central and western China on the other.</w:t>
      </w:r>
    </w:p>
    <w:p>
      <w:pPr>
        <w:pStyle w:val="Heading2"/>
      </w:pPr>
      <w:r>
        <w:rPr>
          <w:rFonts w:ascii="Times New Roman" w:hAnsi="Times New Roman" w:eastAsia="SimSun"/>
        </w:rPr>
        <w:t>4.2 Malaysia: Rights Legislation First, Educational Provision Following</w:t>
      </w:r>
    </w:p>
    <w:p>
      <w:pPr>
        <w:spacing w:line="480" w:lineRule="auto" w:before="0" w:after="0"/>
        <w:ind w:firstLine="720"/>
      </w:pPr>
      <w:r>
        <w:rPr>
          <w:rFonts w:ascii="Times New Roman" w:hAnsi="Times New Roman" w:eastAsia="SimSun"/>
          <w:b w:val="0"/>
          <w:i w:val="0"/>
          <w:sz w:val="24"/>
        </w:rPr>
        <w:t>The Persons with Disabilities Act 2008 (Act 685) affirms the rights of persons with disabilities and the principles of accessibility and equal opportunity; actual arrangements in education have long depended on PPKI and school placement. The ministry has promoted Program Inklusif since around 2019, with aims including reducing the exclusion of students with disabilities in regular classes and strengthening early identification and in-school support. Scholarly analysis notes that integrating models of disability within Malaysian special education law remains subject to tension between rights legislation and educational implementation (Othman et al., 2022). The 2025 service-centre operational guidelines assign 3PK the functions of screening, assessment, intervention, rehabilitation, and consultation (China Education Daily, 2025).</w:t>
      </w:r>
    </w:p>
    <w:p>
      <w:pPr>
        <w:spacing w:line="480" w:lineRule="auto" w:before="0" w:after="0"/>
        <w:ind w:firstLine="720"/>
      </w:pPr>
      <w:r>
        <w:rPr>
          <w:rFonts w:ascii="Times New Roman" w:hAnsi="Times New Roman" w:eastAsia="SimSun"/>
          <w:b w:val="0"/>
          <w:i w:val="0"/>
          <w:sz w:val="24"/>
        </w:rPr>
        <w:t xml:space="preserve">Malaysia's institutional difficulty lies in </w:t>
      </w:r>
      <w:r>
        <w:rPr>
          <w:rFonts w:ascii="Times New Roman" w:hAnsi="Times New Roman" w:eastAsia="SimSun"/>
          <w:b/>
          <w:i w:val="0"/>
          <w:sz w:val="24"/>
        </w:rPr>
        <w:t>resource allocation across federal, state, and school levels and in its multilingual educational ecology</w:t>
      </w:r>
      <w:r>
        <w:rPr>
          <w:rFonts w:ascii="Times New Roman" w:hAnsi="Times New Roman" w:eastAsia="SimSun"/>
          <w:b w:val="0"/>
          <w:i w:val="0"/>
          <w:sz w:val="24"/>
        </w:rPr>
        <w:t>, not in the absence of a job title. Sabah and Sarawak in East Malaysia are distant from the Peninsula and entail high transport costs; national primary schools, national-type secondary schools, Chinese-medium primary schools, and Tamil-medium primary schools are not homogeneous in language of instruction or teacher supply.</w:t>
      </w:r>
    </w:p>
    <w:p>
      <w:pPr>
        <w:pStyle w:val="Heading2"/>
      </w:pPr>
      <w:r>
        <w:rPr>
          <w:rFonts w:ascii="Times New Roman" w:hAnsi="Times New Roman" w:eastAsia="SimSun"/>
        </w:rPr>
        <w:t>4.3 Singapore: Statutory Framework Plus Direct Funding Plus a Life-Course Network</w:t>
      </w:r>
    </w:p>
    <w:p>
      <w:pPr>
        <w:spacing w:line="480" w:lineRule="auto" w:before="0" w:after="0"/>
        <w:ind w:firstLine="720"/>
      </w:pPr>
      <w:r>
        <w:rPr>
          <w:rFonts w:ascii="Times New Roman" w:hAnsi="Times New Roman" w:eastAsia="SimSun"/>
          <w:b w:val="0"/>
          <w:i w:val="0"/>
          <w:sz w:val="24"/>
        </w:rPr>
        <w:t>The Compulsory Education Act establishes the compulsory schooling framework; the division of labour between MOE Singapore's SPED schools and mainstream schools, together with SG Enable's role in employment and transition services for persons with disabilities, jointly forms a life-course support network. Enabling Masterplan 2030 is driven by MSF and others, with SG Enable linking employers, training providers, and service agencies so that SPED education is not isolated from adult services (MSF &amp; SG Enable, 2022). In a 2025 parliamentary reply, MOE Singapore reaffirmed that mainstream and SPED students may follow different pathways, with SEN officers providing guidance to students with additional needs (MOE Singapore, 2025).</w:t>
      </w:r>
    </w:p>
    <w:p>
      <w:pPr>
        <w:spacing w:line="480" w:lineRule="auto" w:before="0" w:after="0"/>
        <w:ind w:firstLine="720"/>
      </w:pPr>
      <w:r>
        <w:rPr>
          <w:rFonts w:ascii="Times New Roman" w:hAnsi="Times New Roman" w:eastAsia="SimSun"/>
          <w:b w:val="0"/>
          <w:i w:val="0"/>
          <w:sz w:val="24"/>
        </w:rPr>
        <w:t xml:space="preserve">Policy transmission in Singapore operates more through </w:t>
      </w:r>
      <w:r>
        <w:rPr>
          <w:rFonts w:ascii="Times New Roman" w:hAnsi="Times New Roman" w:eastAsia="SimSun"/>
          <w:b/>
          <w:i w:val="0"/>
          <w:sz w:val="24"/>
        </w:rPr>
        <w:t>MOE Singapore's provisioning and funding of schools</w:t>
      </w:r>
      <w:r>
        <w:rPr>
          <w:rFonts w:ascii="Times New Roman" w:hAnsi="Times New Roman" w:eastAsia="SimSun"/>
          <w:b w:val="0"/>
          <w:i w:val="0"/>
          <w:sz w:val="24"/>
        </w:rPr>
        <w:t xml:space="preserve"> than through local supervision. Consequently, its "mobility" tends to occur in transitions, psychological services, assistive technology, and employment support.</w:t>
      </w:r>
    </w:p>
    <w:p>
      <w:pPr>
        <w:pStyle w:val="Heading2"/>
      </w:pPr>
      <w:r>
        <w:rPr>
          <w:rFonts w:ascii="Times New Roman" w:hAnsi="Times New Roman" w:eastAsia="SimSun"/>
        </w:rPr>
        <w:t>4.4 Comparative Table of Policy Transmission Mechanisms</w:t>
      </w:r>
    </w:p>
    <w:tbl>
      <w:tblPr>
        <w:tblW w:type="dxa" w:w="9026"/>
        <w:jc w:val="left"/>
        <w:tblBorders>
          <w:top w:val="single" w:sz="4" w:color="CCCCCC"/>
          <w:left w:val="single" w:sz="4" w:color="CCCCCC"/>
          <w:bottom w:val="single" w:sz="4" w:color="CCCCCC"/>
          <w:right w:val="single" w:sz="4" w:color="CCCCCC"/>
          <w:insideH w:val="single" w:sz="4" w:color="CCCCCC"/>
          <w:insideV w:val="single" w:sz="4" w:color="CCCCCC"/>
        </w:tblBorders>
        <w:tblLayout w:type="fixed"/>
        <w:tblLook w:firstColumn="1" w:firstRow="1" w:lastColumn="0" w:lastRow="0" w:noHBand="0" w:noVBand="1" w:val="04A0"/>
      </w:tblPr>
      <w:tblGrid>
        <w:gridCol w:w="2256"/>
        <w:gridCol w:w="2256"/>
        <w:gridCol w:w="2256"/>
        <w:gridCol w:w="2258"/>
      </w:tblGrid>
      <w:tr>
        <w:tc>
          <w:tcPr>
            <w:tcW w:type="dxa" w:w="2256"/>
            <w:shd w:val="clear" w:color="auto" w:fill="D9D9D9"/>
          </w:tcPr>
          <w:p>
            <w:pPr>
              <w:spacing w:line="240" w:lineRule="auto" w:before="40" w:after="40"/>
            </w:pPr>
            <w:r>
              <w:rPr>
                <w:rFonts w:eastAsia="SimSun" w:ascii="Times New Roman" w:hAnsi="Times New Roman" w:cs="Times New Roman"/>
                <w:b/>
                <w:bCs/>
                <w:sz w:val="18"/>
              </w:rPr>
              <w:t>Dimension</w:t>
            </w:r>
          </w:p>
        </w:tc>
        <w:tc>
          <w:tcPr>
            <w:tcW w:type="dxa" w:w="2256"/>
            <w:shd w:val="clear" w:color="auto" w:fill="D9D9D9"/>
          </w:tcPr>
          <w:p>
            <w:pPr>
              <w:spacing w:line="240" w:lineRule="auto" w:before="40" w:after="40"/>
            </w:pPr>
            <w:r>
              <w:rPr>
                <w:rFonts w:eastAsia="SimSun" w:ascii="Times New Roman" w:hAnsi="Times New Roman" w:cs="Times New Roman"/>
                <w:b/>
                <w:bCs/>
                <w:sz w:val="18"/>
              </w:rPr>
              <w:t>China</w:t>
            </w:r>
          </w:p>
        </w:tc>
        <w:tc>
          <w:tcPr>
            <w:tcW w:type="dxa" w:w="2256"/>
            <w:shd w:val="clear" w:color="auto" w:fill="D9D9D9"/>
          </w:tcPr>
          <w:p>
            <w:pPr>
              <w:spacing w:line="240" w:lineRule="auto" w:before="40" w:after="40"/>
            </w:pPr>
            <w:r>
              <w:rPr>
                <w:rFonts w:eastAsia="SimSun" w:ascii="Times New Roman" w:hAnsi="Times New Roman" w:cs="Times New Roman"/>
                <w:b/>
                <w:bCs/>
                <w:sz w:val="18"/>
              </w:rPr>
              <w:t>Malaysia</w:t>
            </w:r>
          </w:p>
        </w:tc>
        <w:tc>
          <w:tcPr>
            <w:tcW w:type="dxa" w:w="2258"/>
            <w:shd w:val="clear" w:color="auto" w:fill="D9D9D9"/>
          </w:tcPr>
          <w:p>
            <w:pPr>
              <w:spacing w:line="240" w:lineRule="auto" w:before="40" w:after="40"/>
            </w:pPr>
            <w:r>
              <w:rPr>
                <w:rFonts w:eastAsia="SimSun" w:ascii="Times New Roman" w:hAnsi="Times New Roman" w:cs="Times New Roman"/>
                <w:b/>
                <w:bCs/>
                <w:sz w:val="18"/>
              </w:rPr>
              <w:t>Singapore</w:t>
            </w:r>
          </w:p>
        </w:tc>
      </w:tr>
      <w:tr>
        <w:tc>
          <w:tcPr>
            <w:tcW w:type="dxa" w:w="2256"/>
          </w:tcPr>
          <w:p>
            <w:pPr>
              <w:spacing w:line="240" w:lineRule="auto" w:before="40" w:after="40"/>
            </w:pPr>
            <w:r>
              <w:rPr>
                <w:rFonts w:eastAsia="SimSun" w:ascii="Times New Roman" w:hAnsi="Times New Roman" w:cs="Times New Roman"/>
                <w:sz w:val="18"/>
              </w:rPr>
              <w:t>Top-level basis</w:t>
            </w:r>
          </w:p>
        </w:tc>
        <w:tc>
          <w:tcPr>
            <w:tcW w:type="dxa" w:w="2256"/>
          </w:tcPr>
          <w:p>
            <w:pPr>
              <w:spacing w:line="240" w:lineRule="auto" w:before="40" w:after="40"/>
            </w:pPr>
            <w:r>
              <w:rPr>
                <w:rFonts w:eastAsia="SimSun" w:ascii="Times New Roman" w:hAnsi="Times New Roman" w:cs="Times New Roman"/>
                <w:sz w:val="18"/>
              </w:rPr>
              <w:t>*Regulations on Education for Persons with Disabilities* (State Council, 2017)</w:t>
            </w:r>
          </w:p>
        </w:tc>
        <w:tc>
          <w:tcPr>
            <w:tcW w:type="dxa" w:w="2256"/>
          </w:tcPr>
          <w:p>
            <w:pPr>
              <w:spacing w:line="240" w:lineRule="auto" w:before="40" w:after="40"/>
            </w:pPr>
            <w:r>
              <w:rPr>
                <w:rFonts w:eastAsia="SimSun" w:ascii="Times New Roman" w:hAnsi="Times New Roman" w:cs="Times New Roman"/>
                <w:sz w:val="18"/>
              </w:rPr>
              <w:t>Persons with Disabilities Act 2008</w:t>
            </w:r>
          </w:p>
        </w:tc>
        <w:tc>
          <w:tcPr>
            <w:tcW w:type="dxa" w:w="2258"/>
          </w:tcPr>
          <w:p>
            <w:pPr>
              <w:spacing w:line="240" w:lineRule="auto" w:before="40" w:after="40"/>
            </w:pPr>
            <w:r>
              <w:rPr>
                <w:rFonts w:eastAsia="SimSun" w:ascii="Times New Roman" w:hAnsi="Times New Roman" w:cs="Times New Roman"/>
                <w:sz w:val="18"/>
              </w:rPr>
              <w:t>Compulsory Education Act; MOE policies</w:t>
            </w:r>
          </w:p>
        </w:tc>
      </w:tr>
      <w:tr>
        <w:tc>
          <w:tcPr>
            <w:tcW w:type="dxa" w:w="2256"/>
          </w:tcPr>
          <w:p>
            <w:pPr>
              <w:spacing w:line="240" w:lineRule="auto" w:before="40" w:after="40"/>
            </w:pPr>
            <w:r>
              <w:rPr>
                <w:rFonts w:eastAsia="SimSun" w:ascii="Times New Roman" w:hAnsi="Times New Roman" w:cs="Times New Roman"/>
                <w:sz w:val="18"/>
              </w:rPr>
              <w:t>Medium-term planning</w:t>
            </w:r>
          </w:p>
        </w:tc>
        <w:tc>
          <w:tcPr>
            <w:tcW w:type="dxa" w:w="2256"/>
          </w:tcPr>
          <w:p>
            <w:pPr>
              <w:spacing w:line="240" w:lineRule="auto" w:before="40" w:after="40"/>
            </w:pPr>
            <w:r>
              <w:rPr>
                <w:rFonts w:eastAsia="SimSun" w:ascii="Times New Roman" w:hAnsi="Times New Roman" w:cs="Times New Roman"/>
                <w:sz w:val="18"/>
              </w:rPr>
              <w:t>Special education improvement deployments under the 14th Five-Year Plan; evaluation guidelines</w:t>
            </w:r>
          </w:p>
        </w:tc>
        <w:tc>
          <w:tcPr>
            <w:tcW w:type="dxa" w:w="2256"/>
          </w:tcPr>
          <w:p>
            <w:pPr>
              <w:spacing w:line="240" w:lineRule="auto" w:before="40" w:after="40"/>
            </w:pPr>
            <w:r>
              <w:rPr>
                <w:rFonts w:eastAsia="SimSun" w:ascii="Times New Roman" w:hAnsi="Times New Roman" w:cs="Times New Roman"/>
                <w:sz w:val="18"/>
              </w:rPr>
              <w:t>Program Inklusif; 3PK service guidelines</w:t>
            </w:r>
          </w:p>
        </w:tc>
        <w:tc>
          <w:tcPr>
            <w:tcW w:type="dxa" w:w="2258"/>
          </w:tcPr>
          <w:p>
            <w:pPr>
              <w:spacing w:line="240" w:lineRule="auto" w:before="40" w:after="40"/>
            </w:pPr>
            <w:r>
              <w:rPr>
                <w:rFonts w:eastAsia="SimSun" w:ascii="Times New Roman" w:hAnsi="Times New Roman" w:cs="Times New Roman"/>
                <w:sz w:val="18"/>
              </w:rPr>
              <w:t>Enabling Masterplan 2030</w:t>
            </w:r>
          </w:p>
        </w:tc>
      </w:tr>
      <w:tr>
        <w:tc>
          <w:tcPr>
            <w:tcW w:type="dxa" w:w="2256"/>
          </w:tcPr>
          <w:p>
            <w:pPr>
              <w:spacing w:line="240" w:lineRule="auto" w:before="40" w:after="40"/>
            </w:pPr>
            <w:r>
              <w:rPr>
                <w:rFonts w:eastAsia="SimSun" w:ascii="Times New Roman" w:hAnsi="Times New Roman" w:cs="Times New Roman"/>
                <w:sz w:val="18"/>
              </w:rPr>
              <w:t>Main transmission channel</w:t>
            </w:r>
          </w:p>
        </w:tc>
        <w:tc>
          <w:tcPr>
            <w:tcW w:type="dxa" w:w="2256"/>
          </w:tcPr>
          <w:p>
            <w:pPr>
              <w:spacing w:line="240" w:lineRule="auto" w:before="40" w:after="40"/>
            </w:pPr>
            <w:r>
              <w:rPr>
                <w:rFonts w:eastAsia="SimSun" w:ascii="Times New Roman" w:hAnsi="Times New Roman" w:cs="Times New Roman"/>
                <w:sz w:val="18"/>
              </w:rPr>
              <w:t>Administrative hierarchy plus professional supervision by resource centres</w:t>
            </w:r>
          </w:p>
        </w:tc>
        <w:tc>
          <w:tcPr>
            <w:tcW w:type="dxa" w:w="2256"/>
          </w:tcPr>
          <w:p>
            <w:pPr>
              <w:spacing w:line="240" w:lineRule="auto" w:before="40" w:after="40"/>
            </w:pPr>
            <w:r>
              <w:rPr>
                <w:rFonts w:eastAsia="SimSun" w:ascii="Times New Roman" w:hAnsi="Times New Roman" w:cs="Times New Roman"/>
                <w:sz w:val="18"/>
              </w:rPr>
              <w:t>Ministry–state–school; service-centre outreach</w:t>
            </w:r>
          </w:p>
        </w:tc>
        <w:tc>
          <w:tcPr>
            <w:tcW w:type="dxa" w:w="2258"/>
          </w:tcPr>
          <w:p>
            <w:pPr>
              <w:spacing w:line="240" w:lineRule="auto" w:before="40" w:after="40"/>
            </w:pPr>
            <w:r>
              <w:rPr>
                <w:rFonts w:eastAsia="SimSun" w:ascii="Times New Roman" w:hAnsi="Times New Roman" w:cs="Times New Roman"/>
                <w:sz w:val="18"/>
              </w:rPr>
              <w:t>MOE funding and school provisioning; cross-agency networks</w:t>
            </w:r>
          </w:p>
        </w:tc>
      </w:tr>
      <w:tr>
        <w:tc>
          <w:tcPr>
            <w:tcW w:type="dxa" w:w="2256"/>
          </w:tcPr>
          <w:p>
            <w:pPr>
              <w:spacing w:line="240" w:lineRule="auto" w:before="40" w:after="40"/>
            </w:pPr>
            <w:r>
              <w:rPr>
                <w:rFonts w:eastAsia="SimSun" w:ascii="Times New Roman" w:hAnsi="Times New Roman" w:cs="Times New Roman"/>
                <w:sz w:val="18"/>
              </w:rPr>
              <w:t>Accountability instruments</w:t>
            </w:r>
          </w:p>
        </w:tc>
        <w:tc>
          <w:tcPr>
            <w:tcW w:type="dxa" w:w="2256"/>
          </w:tcPr>
          <w:p>
            <w:pPr>
              <w:spacing w:line="240" w:lineRule="auto" w:before="40" w:after="40"/>
            </w:pPr>
            <w:r>
              <w:rPr>
                <w:rFonts w:eastAsia="SimSun" w:ascii="Times New Roman" w:hAnsi="Times New Roman" w:cs="Times New Roman"/>
                <w:sz w:val="18"/>
              </w:rPr>
              <w:t>Quality evaluation guidelines; work records</w:t>
            </w:r>
          </w:p>
        </w:tc>
        <w:tc>
          <w:tcPr>
            <w:tcW w:type="dxa" w:w="2256"/>
          </w:tcPr>
          <w:p>
            <w:pPr>
              <w:spacing w:line="240" w:lineRule="auto" w:before="40" w:after="40"/>
            </w:pPr>
            <w:r>
              <w:rPr>
                <w:rFonts w:eastAsia="SimSun" w:ascii="Times New Roman" w:hAnsi="Times New Roman" w:cs="Times New Roman"/>
                <w:sz w:val="18"/>
              </w:rPr>
              <w:t>Service-centre functional provisions (indicators insufficient)</w:t>
            </w:r>
          </w:p>
        </w:tc>
        <w:tc>
          <w:tcPr>
            <w:tcW w:type="dxa" w:w="2258"/>
          </w:tcPr>
          <w:p>
            <w:pPr>
              <w:spacing w:line="240" w:lineRule="auto" w:before="40" w:after="40"/>
            </w:pPr>
            <w:r>
              <w:rPr>
                <w:rFonts w:eastAsia="SimSun" w:ascii="Times New Roman" w:hAnsi="Times New Roman" w:cs="Times New Roman"/>
                <w:sz w:val="18"/>
              </w:rPr>
              <w:t>Internal school management; parliamentary accountability</w:t>
            </w:r>
          </w:p>
        </w:tc>
      </w:tr>
      <w:tr>
        <w:tc>
          <w:tcPr>
            <w:tcW w:type="dxa" w:w="2256"/>
          </w:tcPr>
          <w:p>
            <w:pPr>
              <w:spacing w:line="240" w:lineRule="auto" w:before="40" w:after="40"/>
            </w:pPr>
            <w:r>
              <w:rPr>
                <w:rFonts w:eastAsia="SimSun" w:ascii="Times New Roman" w:hAnsi="Times New Roman" w:cs="Times New Roman"/>
                <w:sz w:val="18"/>
              </w:rPr>
              <w:t>Principal break point</w:t>
            </w:r>
          </w:p>
        </w:tc>
        <w:tc>
          <w:tcPr>
            <w:tcW w:type="dxa" w:w="2256"/>
          </w:tcPr>
          <w:p>
            <w:pPr>
              <w:spacing w:line="240" w:lineRule="auto" w:before="40" w:after="40"/>
            </w:pPr>
            <w:r>
              <w:rPr>
                <w:rFonts w:eastAsia="SimSun" w:ascii="Times New Roman" w:hAnsi="Times New Roman" w:cs="Times New Roman"/>
                <w:sz w:val="18"/>
              </w:rPr>
              <w:t>Large variation in local elaboration</w:t>
            </w:r>
          </w:p>
        </w:tc>
        <w:tc>
          <w:tcPr>
            <w:tcW w:type="dxa" w:w="2256"/>
          </w:tcPr>
          <w:p>
            <w:pPr>
              <w:spacing w:line="240" w:lineRule="auto" w:before="40" w:after="40"/>
            </w:pPr>
            <w:r>
              <w:rPr>
                <w:rFonts w:eastAsia="SimSun" w:ascii="Times New Roman" w:hAnsi="Times New Roman" w:cs="Times New Roman"/>
                <w:sz w:val="18"/>
              </w:rPr>
              <w:t>Uneven federal–state resources; cross-state coordination</w:t>
            </w:r>
          </w:p>
        </w:tc>
        <w:tc>
          <w:tcPr>
            <w:tcW w:type="dxa" w:w="2258"/>
          </w:tcPr>
          <w:p>
            <w:pPr>
              <w:spacing w:line="240" w:lineRule="auto" w:before="40" w:after="40"/>
            </w:pPr>
            <w:r>
              <w:rPr>
                <w:rFonts w:eastAsia="SimSun" w:ascii="Times New Roman" w:hAnsi="Times New Roman" w:cs="Times New Roman"/>
                <w:sz w:val="18"/>
              </w:rPr>
              <w:t>Ambiguous role boundaries; indicator-driven pressure</w:t>
            </w:r>
          </w:p>
        </w:tc>
      </w:tr>
    </w:tbl>
    <w:p>
      <w:pPr>
        <w:spacing w:line="240" w:lineRule="auto"/>
      </w:pPr>
      <w:r>
        <w:rPr>
          <w:sz w:val="12"/>
        </w:rPr>
      </w:r>
    </w:p>
    <w:p>
      <w:pPr>
        <w:pStyle w:val="Heading2"/>
      </w:pPr>
      <w:r>
        <w:rPr>
          <w:rFonts w:ascii="Times New Roman" w:hAnsi="Times New Roman" w:eastAsia="SimSun"/>
        </w:rPr>
        <w:t>4.5 Comparison Summary</w:t>
      </w:r>
    </w:p>
    <w:p>
      <w:pPr>
        <w:spacing w:line="480" w:lineRule="auto" w:before="0" w:after="0"/>
        <w:ind w:firstLine="720"/>
      </w:pPr>
      <w:r>
        <w:rPr>
          <w:rFonts w:ascii="Times New Roman" w:hAnsi="Times New Roman" w:eastAsia="SimSun"/>
          <w:b w:val="0"/>
          <w:i w:val="0"/>
          <w:sz w:val="24"/>
        </w:rPr>
        <w:t xml:space="preserve">Differences in policy transmission directly determine where the role's centre of gravity lies: </w:t>
      </w:r>
      <w:r>
        <w:rPr>
          <w:rFonts w:ascii="Times New Roman" w:hAnsi="Times New Roman" w:eastAsia="SimSun"/>
          <w:b/>
          <w:i w:val="0"/>
          <w:sz w:val="24"/>
        </w:rPr>
        <w:t>China leans toward regional professional supervision, Malaysia toward expanding in-school inclusion, and Singapore toward in-school service coordination and transition networks</w:t>
      </w:r>
      <w:r>
        <w:rPr>
          <w:rFonts w:ascii="Times New Roman" w:hAnsi="Times New Roman" w:eastAsia="SimSun"/>
          <w:b w:val="0"/>
          <w:i w:val="0"/>
          <w:sz w:val="24"/>
        </w:rPr>
        <w:t>. China can rely on resource centres to realise a "policy–profession–supervision" itinerant chain. Malaysia would be better served by first establishing regional-centre outreach and school-based coordinators, then deciding whether to create cross-school posts. Singapore should integrate its school-based AED(LBS), educational psychology, health services, and SPED transitions into a case network rather than replicating China's geographic itinerancy (D).</w:t>
      </w:r>
    </w:p>
    <w:p>
      <w:pPr>
        <w:spacing w:line="360" w:lineRule="auto" w:before="0" w:after="120"/>
      </w:pPr>
      <w:r>
        <w:rPr>
          <w:rFonts w:ascii="Times New Roman" w:hAnsi="Times New Roman" w:eastAsia="SimSun"/>
          <w:b w:val="0"/>
          <w:i/>
          <w:sz w:val="21"/>
        </w:rPr>
        <w:t>Evidence strength note: Chinese legal policy is A; Malaysian rights legislation and PPKI are A, while Program Inklusif and parts of 3PK are C; Singapore is A/C.</w:t>
      </w:r>
    </w:p>
    <w:p>
      <w:pPr>
        <w:pStyle w:val="Heading1"/>
      </w:pPr>
      <w:r>
        <w:rPr>
          <w:rFonts w:ascii="Times New Roman" w:hAnsi="Times New Roman" w:eastAsia="SimSun"/>
        </w:rPr>
        <w:t>5. Target Populations, Establishment, and Organisational Affiliation</w:t>
      </w:r>
    </w:p>
    <w:p>
      <w:pPr>
        <w:pStyle w:val="Heading2"/>
      </w:pPr>
      <w:r>
        <w:rPr>
          <w:rFonts w:ascii="Times New Roman" w:hAnsi="Times New Roman" w:eastAsia="SimSun"/>
        </w:rPr>
        <w:t>5.1 Divergent Counting Conventions for Target Populations</w:t>
      </w:r>
    </w:p>
    <w:p>
      <w:pPr>
        <w:spacing w:line="480" w:lineRule="auto" w:before="0" w:after="0"/>
        <w:ind w:firstLine="720"/>
      </w:pPr>
      <w:r>
        <w:rPr>
          <w:rFonts w:ascii="Times New Roman" w:hAnsi="Times New Roman" w:eastAsia="SimSun"/>
          <w:b w:val="0"/>
          <w:i w:val="0"/>
          <w:sz w:val="24"/>
        </w:rPr>
        <w:t>China centres on students with disabilities who have been assessed or hold a disability certificate: suitability for learning in regular classrooms is to be assessed by the county-level expert committee, and mainstream schools must place students appropriately according to disability category and severity and formulate individualised education/teaching plans (MOE China, 2020). Recent policy has begun to address the broader population of students with special educational needs, but national identification standards, service ratios, and funding still treat students with disabilities as the primary counting convention.</w:t>
      </w:r>
    </w:p>
    <w:p>
      <w:pPr>
        <w:spacing w:line="480" w:lineRule="auto" w:before="0" w:after="0"/>
        <w:ind w:firstLine="720"/>
      </w:pPr>
      <w:r>
        <w:rPr>
          <w:rFonts w:ascii="Times New Roman" w:hAnsi="Times New Roman" w:eastAsia="SimSun"/>
          <w:b w:val="0"/>
          <w:i w:val="0"/>
          <w:sz w:val="24"/>
        </w:rPr>
        <w:t xml:space="preserve">Malaysia operates </w:t>
      </w:r>
      <w:r>
        <w:rPr>
          <w:rFonts w:ascii="Times New Roman" w:hAnsi="Times New Roman" w:eastAsia="SimSun"/>
          <w:b/>
          <w:i w:val="0"/>
          <w:sz w:val="24"/>
        </w:rPr>
        <w:t>two conventions, one of rights and one of educational administration</w:t>
      </w:r>
      <w:r>
        <w:rPr>
          <w:rFonts w:ascii="Times New Roman" w:hAnsi="Times New Roman" w:eastAsia="SimSun"/>
          <w:b w:val="0"/>
          <w:i w:val="0"/>
          <w:sz w:val="24"/>
        </w:rPr>
        <w:t>: OKU is a rights-bearing status under the Persons with Disabilities Act 2008, whereas MBK is the educational-administrative term for "students with special educational needs." PPKI classes may be organised by category such as hearing, visual, and learning, while Program Inklusif serves MBK/OKU students who enter regular classes. The two are not mutually exclusive; students may move between PPKI and regular classes, though publicly available materials provide no nationally uniform transition rate.</w:t>
      </w:r>
    </w:p>
    <w:p>
      <w:pPr>
        <w:spacing w:line="480" w:lineRule="auto" w:before="0" w:after="0"/>
        <w:ind w:firstLine="720"/>
      </w:pPr>
      <w:r>
        <w:rPr>
          <w:rFonts w:ascii="Times New Roman" w:hAnsi="Times New Roman" w:eastAsia="SimSun"/>
          <w:b w:val="0"/>
          <w:i w:val="0"/>
          <w:sz w:val="24"/>
        </w:rPr>
        <w:t>In Singapore, "special educational needs (SEN)" is not a single diagnostic label. AED(LBS) primarily serve mild to moderate learning, social, emotional, and behavioural needs; more complex mental health needs are referred to mental health services; sensory and autism-related needs are met through reasonable adjustments, SPED schools, and assistive technology. MOE Singapore stated in 2025 that SEN officers provide guidance to students with additional needs (MOE Singapore, 2025).</w:t>
      </w:r>
    </w:p>
    <w:p>
      <w:pPr>
        <w:pStyle w:val="Heading2"/>
      </w:pPr>
      <w:r>
        <w:rPr>
          <w:rFonts w:ascii="Times New Roman" w:hAnsi="Times New Roman" w:eastAsia="SimSun"/>
        </w:rPr>
        <w:t>5.2 Organisational Affiliation and Control over Resources</w:t>
      </w:r>
    </w:p>
    <w:p>
      <w:pPr>
        <w:spacing w:line="480" w:lineRule="auto" w:before="0" w:after="0"/>
        <w:ind w:firstLine="720"/>
      </w:pPr>
      <w:r>
        <w:rPr>
          <w:rFonts w:ascii="Times New Roman" w:hAnsi="Times New Roman" w:eastAsia="SimSun"/>
          <w:b w:val="0"/>
          <w:i w:val="0"/>
          <w:sz w:val="24"/>
        </w:rPr>
        <w:t xml:space="preserve">Chinese itinerant teachers are typically attached to </w:t>
      </w:r>
      <w:r>
        <w:rPr>
          <w:rFonts w:ascii="Times New Roman" w:hAnsi="Times New Roman" w:eastAsia="SimSun"/>
          <w:b/>
          <w:i w:val="0"/>
          <w:sz w:val="24"/>
        </w:rPr>
        <w:t>county-level special education resource or guidance centres</w:t>
      </w:r>
      <w:r>
        <w:rPr>
          <w:rFonts w:ascii="Times New Roman" w:hAnsi="Times New Roman" w:eastAsia="SimSun"/>
          <w:b w:val="0"/>
          <w:i w:val="0"/>
          <w:sz w:val="24"/>
        </w:rPr>
        <w:t>, concentrating special education resources, specialist personnel, and supervisory authority at a single administrative–professional node. This suits a system with vast territory, dispersed schools, and reasonably strong county-level educational administration. If Malaysia were to place cross-school support within 3PK, this would favour standardisation of professional services but would require cross-state and cross-language team configurations. Singapore's small territory and high school density mean school-based deployment alone achieves coverage, so its institutional returns come more from case coordination than from reducing travel costs.</w:t>
      </w:r>
    </w:p>
    <w:p>
      <w:pPr>
        <w:pStyle w:val="Heading2"/>
      </w:pPr>
      <w:r>
        <w:rPr>
          <w:rFonts w:ascii="Times New Roman" w:hAnsi="Times New Roman" w:eastAsia="SimSun"/>
        </w:rPr>
        <w:t>5.3 Comparative Table of Target Populations and Affiliation</w:t>
      </w:r>
    </w:p>
    <w:tbl>
      <w:tblPr>
        <w:tblW w:type="dxa" w:w="9026"/>
        <w:jc w:val="left"/>
        <w:tblBorders>
          <w:top w:val="single" w:sz="4" w:color="CCCCCC"/>
          <w:left w:val="single" w:sz="4" w:color="CCCCCC"/>
          <w:bottom w:val="single" w:sz="4" w:color="CCCCCC"/>
          <w:right w:val="single" w:sz="4" w:color="CCCCCC"/>
          <w:insideH w:val="single" w:sz="4" w:color="CCCCCC"/>
          <w:insideV w:val="single" w:sz="4" w:color="CCCCCC"/>
        </w:tblBorders>
        <w:tblLayout w:type="fixed"/>
        <w:tblLook w:firstColumn="1" w:firstRow="1" w:lastColumn="0" w:lastRow="0" w:noHBand="0" w:noVBand="1" w:val="04A0"/>
      </w:tblPr>
      <w:tblGrid>
        <w:gridCol w:w="2256"/>
        <w:gridCol w:w="2256"/>
        <w:gridCol w:w="2256"/>
        <w:gridCol w:w="2258"/>
      </w:tblGrid>
      <w:tr>
        <w:tc>
          <w:tcPr>
            <w:tcW w:type="dxa" w:w="2256"/>
            <w:shd w:val="clear" w:color="auto" w:fill="D9D9D9"/>
          </w:tcPr>
          <w:p>
            <w:pPr>
              <w:spacing w:line="240" w:lineRule="auto" w:before="40" w:after="40"/>
            </w:pPr>
            <w:r>
              <w:rPr>
                <w:rFonts w:eastAsia="SimSun" w:ascii="Times New Roman" w:hAnsi="Times New Roman" w:cs="Times New Roman"/>
                <w:b/>
                <w:bCs/>
                <w:sz w:val="18"/>
              </w:rPr>
              <w:t>Dimension</w:t>
            </w:r>
          </w:p>
        </w:tc>
        <w:tc>
          <w:tcPr>
            <w:tcW w:type="dxa" w:w="2256"/>
            <w:shd w:val="clear" w:color="auto" w:fill="D9D9D9"/>
          </w:tcPr>
          <w:p>
            <w:pPr>
              <w:spacing w:line="240" w:lineRule="auto" w:before="40" w:after="40"/>
            </w:pPr>
            <w:r>
              <w:rPr>
                <w:rFonts w:eastAsia="SimSun" w:ascii="Times New Roman" w:hAnsi="Times New Roman" w:cs="Times New Roman"/>
                <w:b/>
                <w:bCs/>
                <w:sz w:val="18"/>
              </w:rPr>
              <w:t>China</w:t>
            </w:r>
          </w:p>
        </w:tc>
        <w:tc>
          <w:tcPr>
            <w:tcW w:type="dxa" w:w="2256"/>
            <w:shd w:val="clear" w:color="auto" w:fill="D9D9D9"/>
          </w:tcPr>
          <w:p>
            <w:pPr>
              <w:spacing w:line="240" w:lineRule="auto" w:before="40" w:after="40"/>
            </w:pPr>
            <w:r>
              <w:rPr>
                <w:rFonts w:eastAsia="SimSun" w:ascii="Times New Roman" w:hAnsi="Times New Roman" w:cs="Times New Roman"/>
                <w:b/>
                <w:bCs/>
                <w:sz w:val="18"/>
              </w:rPr>
              <w:t>Malaysia</w:t>
            </w:r>
          </w:p>
        </w:tc>
        <w:tc>
          <w:tcPr>
            <w:tcW w:type="dxa" w:w="2258"/>
            <w:shd w:val="clear" w:color="auto" w:fill="D9D9D9"/>
          </w:tcPr>
          <w:p>
            <w:pPr>
              <w:spacing w:line="240" w:lineRule="auto" w:before="40" w:after="40"/>
            </w:pPr>
            <w:r>
              <w:rPr>
                <w:rFonts w:eastAsia="SimSun" w:ascii="Times New Roman" w:hAnsi="Times New Roman" w:cs="Times New Roman"/>
                <w:b/>
                <w:bCs/>
                <w:sz w:val="18"/>
              </w:rPr>
              <w:t>Singapore</w:t>
            </w:r>
          </w:p>
        </w:tc>
      </w:tr>
      <w:tr>
        <w:tc>
          <w:tcPr>
            <w:tcW w:type="dxa" w:w="2256"/>
          </w:tcPr>
          <w:p>
            <w:pPr>
              <w:spacing w:line="240" w:lineRule="auto" w:before="40" w:after="40"/>
            </w:pPr>
            <w:r>
              <w:rPr>
                <w:rFonts w:eastAsia="SimSun" w:ascii="Times New Roman" w:hAnsi="Times New Roman" w:cs="Times New Roman"/>
                <w:sz w:val="18"/>
              </w:rPr>
              <w:t>Principal clientele</w:t>
            </w:r>
          </w:p>
        </w:tc>
        <w:tc>
          <w:tcPr>
            <w:tcW w:type="dxa" w:w="2256"/>
          </w:tcPr>
          <w:p>
            <w:pPr>
              <w:spacing w:line="240" w:lineRule="auto" w:before="40" w:after="40"/>
            </w:pPr>
            <w:r>
              <w:rPr>
                <w:rFonts w:eastAsia="SimSun" w:ascii="Times New Roman" w:hAnsi="Times New Roman" w:cs="Times New Roman"/>
                <w:sz w:val="18"/>
              </w:rPr>
              <w:t>Assessed/certified students with disabilities</w:t>
            </w:r>
          </w:p>
        </w:tc>
        <w:tc>
          <w:tcPr>
            <w:tcW w:type="dxa" w:w="2256"/>
          </w:tcPr>
          <w:p>
            <w:pPr>
              <w:spacing w:line="240" w:lineRule="auto" w:before="40" w:after="40"/>
            </w:pPr>
            <w:r>
              <w:rPr>
                <w:rFonts w:eastAsia="SimSun" w:ascii="Times New Roman" w:hAnsi="Times New Roman" w:cs="Times New Roman"/>
                <w:sz w:val="18"/>
              </w:rPr>
              <w:t>MBK / OKU, including learning, hearing, visual, physical, intellectual, and multiple disabilities</w:t>
            </w:r>
          </w:p>
        </w:tc>
        <w:tc>
          <w:tcPr>
            <w:tcW w:type="dxa" w:w="2258"/>
          </w:tcPr>
          <w:p>
            <w:pPr>
              <w:spacing w:line="240" w:lineRule="auto" w:before="40" w:after="40"/>
            </w:pPr>
            <w:r>
              <w:rPr>
                <w:rFonts w:eastAsia="SimSun" w:ascii="Times New Roman" w:hAnsi="Times New Roman" w:cs="Times New Roman"/>
                <w:sz w:val="18"/>
              </w:rPr>
              <w:t>Students with SEN, including learning, social, emotional, behavioural, and sensory needs</w:t>
            </w:r>
          </w:p>
        </w:tc>
      </w:tr>
      <w:tr>
        <w:tc>
          <w:tcPr>
            <w:tcW w:type="dxa" w:w="2256"/>
          </w:tcPr>
          <w:p>
            <w:pPr>
              <w:spacing w:line="240" w:lineRule="auto" w:before="40" w:after="40"/>
            </w:pPr>
            <w:r>
              <w:rPr>
                <w:rFonts w:eastAsia="SimSun" w:ascii="Times New Roman" w:hAnsi="Times New Roman" w:cs="Times New Roman"/>
                <w:sz w:val="18"/>
              </w:rPr>
              <w:t>Identification agent</w:t>
            </w:r>
          </w:p>
        </w:tc>
        <w:tc>
          <w:tcPr>
            <w:tcW w:type="dxa" w:w="2256"/>
          </w:tcPr>
          <w:p>
            <w:pPr>
              <w:spacing w:line="240" w:lineRule="auto" w:before="40" w:after="40"/>
            </w:pPr>
            <w:r>
              <w:rPr>
                <w:rFonts w:eastAsia="SimSun" w:ascii="Times New Roman" w:hAnsi="Times New Roman" w:cs="Times New Roman"/>
                <w:sz w:val="18"/>
              </w:rPr>
              <w:t>County-level expert committee on education for persons with disabilities</w:t>
            </w:r>
          </w:p>
        </w:tc>
        <w:tc>
          <w:tcPr>
            <w:tcW w:type="dxa" w:w="2256"/>
          </w:tcPr>
          <w:p>
            <w:pPr>
              <w:spacing w:line="240" w:lineRule="auto" w:before="40" w:after="40"/>
            </w:pPr>
            <w:r>
              <w:rPr>
                <w:rFonts w:eastAsia="SimSun" w:ascii="Times New Roman" w:hAnsi="Times New Roman" w:cs="Times New Roman"/>
                <w:sz w:val="18"/>
              </w:rPr>
              <w:t>In-school screening plus 3PK assessment</w:t>
            </w:r>
          </w:p>
        </w:tc>
        <w:tc>
          <w:tcPr>
            <w:tcW w:type="dxa" w:w="2258"/>
          </w:tcPr>
          <w:p>
            <w:pPr>
              <w:spacing w:line="240" w:lineRule="auto" w:before="40" w:after="40"/>
            </w:pPr>
            <w:r>
              <w:rPr>
                <w:rFonts w:eastAsia="SimSun" w:ascii="Times New Roman" w:hAnsi="Times New Roman" w:cs="Times New Roman"/>
                <w:sz w:val="18"/>
              </w:rPr>
              <w:t>School identification plus psychologists / external referral</w:t>
            </w:r>
          </w:p>
        </w:tc>
      </w:tr>
      <w:tr>
        <w:tc>
          <w:tcPr>
            <w:tcW w:type="dxa" w:w="2256"/>
          </w:tcPr>
          <w:p>
            <w:pPr>
              <w:spacing w:line="240" w:lineRule="auto" w:before="40" w:after="40"/>
            </w:pPr>
            <w:r>
              <w:rPr>
                <w:rFonts w:eastAsia="SimSun" w:ascii="Times New Roman" w:hAnsi="Times New Roman" w:cs="Times New Roman"/>
                <w:sz w:val="18"/>
              </w:rPr>
              <w:t>Establishment affiliation</w:t>
            </w:r>
          </w:p>
        </w:tc>
        <w:tc>
          <w:tcPr>
            <w:tcW w:type="dxa" w:w="2256"/>
          </w:tcPr>
          <w:p>
            <w:pPr>
              <w:spacing w:line="240" w:lineRule="auto" w:before="40" w:after="40"/>
            </w:pPr>
            <w:r>
              <w:rPr>
                <w:rFonts w:eastAsia="SimSun" w:ascii="Times New Roman" w:hAnsi="Times New Roman" w:cs="Times New Roman"/>
                <w:sz w:val="18"/>
              </w:rPr>
              <w:t>County-level resource centre</w:t>
            </w:r>
          </w:p>
        </w:tc>
        <w:tc>
          <w:tcPr>
            <w:tcW w:type="dxa" w:w="2256"/>
          </w:tcPr>
          <w:p>
            <w:pPr>
              <w:spacing w:line="240" w:lineRule="auto" w:before="40" w:after="40"/>
            </w:pPr>
            <w:r>
              <w:rPr>
                <w:rFonts w:eastAsia="SimSun" w:ascii="Times New Roman" w:hAnsi="Times New Roman" w:cs="Times New Roman"/>
                <w:sz w:val="18"/>
              </w:rPr>
              <w:t>School; 3PK / regional centre</w:t>
            </w:r>
          </w:p>
        </w:tc>
        <w:tc>
          <w:tcPr>
            <w:tcW w:type="dxa" w:w="2258"/>
          </w:tcPr>
          <w:p>
            <w:pPr>
              <w:spacing w:line="240" w:lineRule="auto" w:before="40" w:after="40"/>
            </w:pPr>
            <w:r>
              <w:rPr>
                <w:rFonts w:eastAsia="SimSun" w:ascii="Times New Roman" w:hAnsi="Times New Roman" w:cs="Times New Roman"/>
                <w:sz w:val="18"/>
              </w:rPr>
              <w:t>School post; MOE and SPED school network</w:t>
            </w:r>
          </w:p>
        </w:tc>
      </w:tr>
      <w:tr>
        <w:tc>
          <w:tcPr>
            <w:tcW w:type="dxa" w:w="2256"/>
          </w:tcPr>
          <w:p>
            <w:pPr>
              <w:spacing w:line="240" w:lineRule="auto" w:before="40" w:after="40"/>
            </w:pPr>
            <w:r>
              <w:rPr>
                <w:rFonts w:eastAsia="SimSun" w:ascii="Times New Roman" w:hAnsi="Times New Roman" w:cs="Times New Roman"/>
                <w:sz w:val="18"/>
              </w:rPr>
              <w:t>Geographic constraint</w:t>
            </w:r>
          </w:p>
        </w:tc>
        <w:tc>
          <w:tcPr>
            <w:tcW w:type="dxa" w:w="2256"/>
          </w:tcPr>
          <w:p>
            <w:pPr>
              <w:spacing w:line="240" w:lineRule="auto" w:before="40" w:after="40"/>
            </w:pPr>
            <w:r>
              <w:rPr>
                <w:rFonts w:eastAsia="SimSun" w:ascii="Times New Roman" w:hAnsi="Times New Roman" w:cs="Times New Roman"/>
                <w:sz w:val="18"/>
              </w:rPr>
              <w:t>Significant (central and western rural areas, mountainous regions)</w:t>
            </w:r>
          </w:p>
        </w:tc>
        <w:tc>
          <w:tcPr>
            <w:tcW w:type="dxa" w:w="2256"/>
          </w:tcPr>
          <w:p>
            <w:pPr>
              <w:spacing w:line="240" w:lineRule="auto" w:before="40" w:after="40"/>
            </w:pPr>
            <w:r>
              <w:rPr>
                <w:rFonts w:eastAsia="SimSun" w:ascii="Times New Roman" w:hAnsi="Times New Roman" w:cs="Times New Roman"/>
                <w:sz w:val="18"/>
              </w:rPr>
              <w:t>Significant (East Malaysia, inland areas)</w:t>
            </w:r>
          </w:p>
        </w:tc>
        <w:tc>
          <w:tcPr>
            <w:tcW w:type="dxa" w:w="2258"/>
          </w:tcPr>
          <w:p>
            <w:pPr>
              <w:spacing w:line="240" w:lineRule="auto" w:before="40" w:after="40"/>
            </w:pPr>
            <w:r>
              <w:rPr>
                <w:rFonts w:eastAsia="SimSun" w:ascii="Times New Roman" w:hAnsi="Times New Roman" w:cs="Times New Roman"/>
                <w:sz w:val="18"/>
              </w:rPr>
              <w:t>Weak</w:t>
            </w:r>
          </w:p>
        </w:tc>
      </w:tr>
      <w:tr>
        <w:tc>
          <w:tcPr>
            <w:tcW w:type="dxa" w:w="2256"/>
          </w:tcPr>
          <w:p>
            <w:pPr>
              <w:spacing w:line="240" w:lineRule="auto" w:before="40" w:after="40"/>
            </w:pPr>
            <w:r>
              <w:rPr>
                <w:rFonts w:eastAsia="SimSun" w:ascii="Times New Roman" w:hAnsi="Times New Roman" w:cs="Times New Roman"/>
                <w:sz w:val="18"/>
              </w:rPr>
              <w:t>Comparability</w:t>
            </w:r>
          </w:p>
        </w:tc>
        <w:tc>
          <w:tcPr>
            <w:tcW w:type="dxa" w:w="2256"/>
          </w:tcPr>
          <w:p>
            <w:pPr>
              <w:spacing w:line="240" w:lineRule="auto" w:before="40" w:after="40"/>
            </w:pPr>
            <w:r>
              <w:rPr>
                <w:rFonts w:eastAsia="SimSun" w:ascii="Times New Roman" w:hAnsi="Times New Roman" w:cs="Times New Roman"/>
                <w:sz w:val="18"/>
              </w:rPr>
              <w:t>Convention centred on students with disabilities; caution required</w:t>
            </w:r>
          </w:p>
        </w:tc>
        <w:tc>
          <w:tcPr>
            <w:tcW w:type="dxa" w:w="2256"/>
          </w:tcPr>
          <w:p>
            <w:pPr>
              <w:spacing w:line="240" w:lineRule="auto" w:before="40" w:after="40"/>
            </w:pPr>
            <w:r>
              <w:rPr>
                <w:rFonts w:eastAsia="SimSun" w:ascii="Times New Roman" w:hAnsi="Times New Roman" w:cs="Times New Roman"/>
                <w:sz w:val="18"/>
              </w:rPr>
              <w:t>Two conventions coexist; data dispersed</w:t>
            </w:r>
          </w:p>
        </w:tc>
        <w:tc>
          <w:tcPr>
            <w:tcW w:type="dxa" w:w="2258"/>
          </w:tcPr>
          <w:p>
            <w:pPr>
              <w:spacing w:line="240" w:lineRule="auto" w:before="40" w:after="40"/>
            </w:pPr>
            <w:r>
              <w:rPr>
                <w:rFonts w:eastAsia="SimSun" w:ascii="Times New Roman" w:hAnsi="Times New Roman" w:cs="Times New Roman"/>
                <w:sz w:val="18"/>
              </w:rPr>
              <w:t>SEN is not a diagnostic label; difficult to align with other systems</w:t>
            </w:r>
          </w:p>
        </w:tc>
      </w:tr>
    </w:tbl>
    <w:p>
      <w:pPr>
        <w:spacing w:line="240" w:lineRule="auto"/>
      </w:pPr>
      <w:r>
        <w:rPr>
          <w:sz w:val="12"/>
        </w:rPr>
      </w:r>
    </w:p>
    <w:p>
      <w:pPr>
        <w:spacing w:line="360" w:lineRule="auto" w:before="0" w:after="120"/>
      </w:pPr>
      <w:r>
        <w:rPr>
          <w:rFonts w:ascii="Times New Roman" w:hAnsi="Times New Roman" w:eastAsia="SimSun"/>
          <w:b w:val="0"/>
          <w:i/>
          <w:sz w:val="21"/>
        </w:rPr>
        <w:t>Evidence strength note: student categories are A; organisational affiliation is A for China, C/A for Malaysia, C for Singapore.</w:t>
      </w:r>
    </w:p>
    <w:p>
      <w:pPr>
        <w:pStyle w:val="Heading1"/>
      </w:pPr>
      <w:r>
        <w:rPr>
          <w:rFonts w:ascii="Times New Roman" w:hAnsi="Times New Roman" w:eastAsia="SimSun"/>
        </w:rPr>
        <w:t>6. Job Responsibilities and Service Processes</w:t>
      </w:r>
    </w:p>
    <w:p>
      <w:pPr>
        <w:pStyle w:val="Heading2"/>
      </w:pPr>
      <w:r>
        <w:rPr>
          <w:rFonts w:ascii="Times New Roman" w:hAnsi="Times New Roman" w:eastAsia="SimSun"/>
        </w:rPr>
        <w:t>6.1 China: The Most Complete Responsibility Chain, but No National Service-Volume Standard</w:t>
      </w:r>
    </w:p>
    <w:p>
      <w:pPr>
        <w:spacing w:line="480" w:lineRule="auto" w:before="0" w:after="0"/>
        <w:ind w:firstLine="720"/>
      </w:pPr>
      <w:r>
        <w:rPr>
          <w:rFonts w:ascii="Times New Roman" w:hAnsi="Times New Roman" w:eastAsia="SimSun"/>
          <w:b w:val="0"/>
          <w:i w:val="0"/>
          <w:sz w:val="24"/>
        </w:rPr>
        <w:t>The ministry requires resource centres to provide itinerant guidance, teacher training, quality evaluation, and professional consultation, and requires schools to formulate a "one student, one plan" and implement individualised instruction (MOE China, 2020). Local rules break this down into operational procedures: Pudong requires reassessment every two to three years; if a student no longer meets the identification criteria, exit should be recommended, and if the student is no longer suited to mainstream education, a recommendation should be made for transfer to a special education school (class) and fed back to the school and parents (Pudong Education Bureau, 2023).</w:t>
      </w:r>
    </w:p>
    <w:p>
      <w:pPr>
        <w:spacing w:line="480" w:lineRule="auto" w:before="0" w:after="0"/>
        <w:ind w:firstLine="720"/>
      </w:pPr>
      <w:r>
        <w:rPr>
          <w:rFonts w:ascii="Times New Roman" w:hAnsi="Times New Roman" w:eastAsia="SimSun"/>
          <w:b w:val="0"/>
          <w:i w:val="0"/>
          <w:sz w:val="24"/>
        </w:rPr>
        <w:t xml:space="preserve">This means Chinese itinerant teachers carry a </w:t>
      </w:r>
      <w:r>
        <w:rPr>
          <w:rFonts w:ascii="Times New Roman" w:hAnsi="Times New Roman" w:eastAsia="SimSun"/>
          <w:b/>
          <w:i w:val="0"/>
          <w:sz w:val="24"/>
        </w:rPr>
        <w:t>dual responsibility</w:t>
      </w:r>
      <w:r>
        <w:rPr>
          <w:rFonts w:ascii="Times New Roman" w:hAnsi="Times New Roman" w:eastAsia="SimSun"/>
          <w:b w:val="0"/>
          <w:i w:val="0"/>
          <w:sz w:val="24"/>
        </w:rPr>
        <w:t>: on the one hand maintaining the student's membership in the regular class, and on the other providing professional judgement along the continuum of "continue inclusion–adjust support–transition." Four service types coexist—in-class support, withdrawal support, training, and supervision—and the policy objective should be to empower mainstream teachers rather than to replace them.</w:t>
      </w:r>
    </w:p>
    <w:p>
      <w:pPr>
        <w:pStyle w:val="Heading2"/>
      </w:pPr>
      <w:r>
        <w:rPr>
          <w:rFonts w:ascii="Times New Roman" w:hAnsi="Times New Roman" w:eastAsia="SimSun"/>
        </w:rPr>
        <w:t>6.2 Malaysia: PPI Growing in Importance, but Insufficient In-School Time</w:t>
      </w:r>
    </w:p>
    <w:p>
      <w:pPr>
        <w:spacing w:line="480" w:lineRule="auto" w:before="0" w:after="0"/>
        <w:ind w:firstLine="720"/>
      </w:pPr>
      <w:r>
        <w:rPr>
          <w:rFonts w:ascii="Times New Roman" w:hAnsi="Times New Roman" w:eastAsia="SimSun"/>
          <w:b w:val="0"/>
          <w:i w:val="0"/>
          <w:sz w:val="24"/>
        </w:rPr>
        <w:t>Malaysian policy and scholarly discussion commonly uses Pelan Pendidikan Individu (PPI, Individualised Education Plan). Under Program Inklusif, regular class teachers are expected to deliver differentiated instruction and classroom adjustments, while Guru Pendidikan Khas or 3PK should assist with assessment, strategies, materials, and teacher training. The risk is that school-based teachers may lack the time and authority to develop, monitor, and collaborate on PPIs. Empirical research from China shows that many special education schools have been converted into resource centres, with itinerant guidance teachers going into mainstream schools to support learning in regular classrooms (Zhu et al., 2021); this serves as a functional reference but cannot be taken as direct evidence about the Malaysian post.</w:t>
      </w:r>
    </w:p>
    <w:p>
      <w:pPr>
        <w:pStyle w:val="Heading2"/>
      </w:pPr>
      <w:r>
        <w:rPr>
          <w:rFonts w:ascii="Times New Roman" w:hAnsi="Times New Roman" w:eastAsia="SimSun"/>
        </w:rPr>
        <w:t>6.3 Singapore: Dispersed Services, Case Management Dependent on Multi-Node Collaboration</w:t>
      </w:r>
    </w:p>
    <w:p>
      <w:pPr>
        <w:spacing w:line="480" w:lineRule="auto" w:before="0" w:after="0"/>
        <w:ind w:firstLine="720"/>
      </w:pPr>
      <w:r>
        <w:rPr>
          <w:rFonts w:ascii="Times New Roman" w:hAnsi="Times New Roman" w:eastAsia="SimSun"/>
          <w:b w:val="0"/>
          <w:i w:val="0"/>
          <w:sz w:val="24"/>
        </w:rPr>
        <w:t xml:space="preserve">Typical AED(LBS) work includes observation, joint strategy adjustment with teachers, providing small-group or withdrawal support, and consulting with teachers and parents; schools may consult MOE psychologists or refer to mental health services. In the 2025 policy context, SPED schools are also required to formulate individualised transition plans for students (MOE Singapore, 2025). This is not a strictly uniform "mainstream school IEP process"; it is a </w:t>
      </w:r>
      <w:r>
        <w:rPr>
          <w:rFonts w:ascii="Times New Roman" w:hAnsi="Times New Roman" w:eastAsia="SimSun"/>
          <w:b/>
          <w:i w:val="0"/>
          <w:sz w:val="24"/>
        </w:rPr>
        <w:t>multi-node collaboration model</w:t>
      </w:r>
      <w:r>
        <w:rPr>
          <w:rFonts w:ascii="Times New Roman" w:hAnsi="Times New Roman" w:eastAsia="SimSun"/>
          <w:b w:val="0"/>
          <w:i w:val="0"/>
          <w:sz w:val="24"/>
        </w:rPr>
        <w:t>.</w:t>
      </w:r>
    </w:p>
    <w:p>
      <w:pPr>
        <w:pStyle w:val="Heading2"/>
      </w:pPr>
      <w:r>
        <w:rPr>
          <w:rFonts w:ascii="Times New Roman" w:hAnsi="Times New Roman" w:eastAsia="SimSun"/>
        </w:rPr>
        <w:t>6.4 Comparative Table of Workflows</w:t>
      </w:r>
    </w:p>
    <w:tbl>
      <w:tblPr>
        <w:tblW w:type="dxa" w:w="9026"/>
        <w:jc w:val="left"/>
        <w:tblBorders>
          <w:top w:val="single" w:sz="4" w:color="CCCCCC"/>
          <w:left w:val="single" w:sz="4" w:color="CCCCCC"/>
          <w:bottom w:val="single" w:sz="4" w:color="CCCCCC"/>
          <w:right w:val="single" w:sz="4" w:color="CCCCCC"/>
          <w:insideH w:val="single" w:sz="4" w:color="CCCCCC"/>
          <w:insideV w:val="single" w:sz="4" w:color="CCCCCC"/>
        </w:tblBorders>
        <w:tblLayout w:type="fixed"/>
        <w:tblLook w:firstColumn="1" w:firstRow="1" w:lastColumn="0" w:lastRow="0" w:noHBand="0" w:noVBand="1" w:val="04A0"/>
      </w:tblPr>
      <w:tblGrid>
        <w:gridCol w:w="2256"/>
        <w:gridCol w:w="2256"/>
        <w:gridCol w:w="2256"/>
        <w:gridCol w:w="2258"/>
      </w:tblGrid>
      <w:tr>
        <w:tc>
          <w:tcPr>
            <w:tcW w:type="dxa" w:w="2256"/>
            <w:shd w:val="clear" w:color="auto" w:fill="D9D9D9"/>
          </w:tcPr>
          <w:p>
            <w:pPr>
              <w:spacing w:line="240" w:lineRule="auto" w:before="40" w:after="40"/>
            </w:pPr>
            <w:r>
              <w:rPr>
                <w:rFonts w:eastAsia="SimSun" w:ascii="Times New Roman" w:hAnsi="Times New Roman" w:cs="Times New Roman"/>
                <w:b/>
                <w:bCs/>
                <w:sz w:val="18"/>
              </w:rPr>
              <w:t>Work stage</w:t>
            </w:r>
          </w:p>
        </w:tc>
        <w:tc>
          <w:tcPr>
            <w:tcW w:type="dxa" w:w="2256"/>
            <w:shd w:val="clear" w:color="auto" w:fill="D9D9D9"/>
          </w:tcPr>
          <w:p>
            <w:pPr>
              <w:spacing w:line="240" w:lineRule="auto" w:before="40" w:after="40"/>
            </w:pPr>
            <w:r>
              <w:rPr>
                <w:rFonts w:eastAsia="SimSun" w:ascii="Times New Roman" w:hAnsi="Times New Roman" w:cs="Times New Roman"/>
                <w:b/>
                <w:bCs/>
                <w:sz w:val="18"/>
              </w:rPr>
              <w:t>China</w:t>
            </w:r>
          </w:p>
        </w:tc>
        <w:tc>
          <w:tcPr>
            <w:tcW w:type="dxa" w:w="2256"/>
            <w:shd w:val="clear" w:color="auto" w:fill="D9D9D9"/>
          </w:tcPr>
          <w:p>
            <w:pPr>
              <w:spacing w:line="240" w:lineRule="auto" w:before="40" w:after="40"/>
            </w:pPr>
            <w:r>
              <w:rPr>
                <w:rFonts w:eastAsia="SimSun" w:ascii="Times New Roman" w:hAnsi="Times New Roman" w:cs="Times New Roman"/>
                <w:b/>
                <w:bCs/>
                <w:sz w:val="18"/>
              </w:rPr>
              <w:t>Malaysia</w:t>
            </w:r>
          </w:p>
        </w:tc>
        <w:tc>
          <w:tcPr>
            <w:tcW w:type="dxa" w:w="2258"/>
            <w:shd w:val="clear" w:color="auto" w:fill="D9D9D9"/>
          </w:tcPr>
          <w:p>
            <w:pPr>
              <w:spacing w:line="240" w:lineRule="auto" w:before="40" w:after="40"/>
            </w:pPr>
            <w:r>
              <w:rPr>
                <w:rFonts w:eastAsia="SimSun" w:ascii="Times New Roman" w:hAnsi="Times New Roman" w:cs="Times New Roman"/>
                <w:b/>
                <w:bCs/>
                <w:sz w:val="18"/>
              </w:rPr>
              <w:t>Singapore</w:t>
            </w:r>
          </w:p>
        </w:tc>
      </w:tr>
      <w:tr>
        <w:tc>
          <w:tcPr>
            <w:tcW w:type="dxa" w:w="2256"/>
          </w:tcPr>
          <w:p>
            <w:pPr>
              <w:spacing w:line="240" w:lineRule="auto" w:before="40" w:after="40"/>
            </w:pPr>
            <w:r>
              <w:rPr>
                <w:rFonts w:eastAsia="SimSun" w:ascii="Times New Roman" w:hAnsi="Times New Roman" w:cs="Times New Roman"/>
                <w:sz w:val="18"/>
              </w:rPr>
              <w:t>Screening / assessment</w:t>
            </w:r>
          </w:p>
        </w:tc>
        <w:tc>
          <w:tcPr>
            <w:tcW w:type="dxa" w:w="2256"/>
          </w:tcPr>
          <w:p>
            <w:pPr>
              <w:spacing w:line="240" w:lineRule="auto" w:before="40" w:after="40"/>
            </w:pPr>
            <w:r>
              <w:rPr>
                <w:rFonts w:eastAsia="SimSun" w:ascii="Times New Roman" w:hAnsi="Times New Roman" w:cs="Times New Roman"/>
                <w:sz w:val="18"/>
              </w:rPr>
              <w:t>Comprehensive assessment by county expert committee; school-based initial screening</w:t>
            </w:r>
          </w:p>
        </w:tc>
        <w:tc>
          <w:tcPr>
            <w:tcW w:type="dxa" w:w="2256"/>
          </w:tcPr>
          <w:p>
            <w:pPr>
              <w:spacing w:line="240" w:lineRule="auto" w:before="40" w:after="40"/>
            </w:pPr>
            <w:r>
              <w:rPr>
                <w:rFonts w:eastAsia="SimSun" w:ascii="Times New Roman" w:hAnsi="Times New Roman" w:cs="Times New Roman"/>
                <w:sz w:val="18"/>
              </w:rPr>
              <w:t>In-school / 3PK screening and assessment</w:t>
            </w:r>
          </w:p>
        </w:tc>
        <w:tc>
          <w:tcPr>
            <w:tcW w:type="dxa" w:w="2258"/>
          </w:tcPr>
          <w:p>
            <w:pPr>
              <w:spacing w:line="240" w:lineRule="auto" w:before="40" w:after="40"/>
            </w:pPr>
            <w:r>
              <w:rPr>
                <w:rFonts w:eastAsia="SimSun" w:ascii="Times New Roman" w:hAnsi="Times New Roman" w:cs="Times New Roman"/>
                <w:sz w:val="18"/>
              </w:rPr>
              <w:t>School-based identification; psychologists / external referral</w:t>
            </w:r>
          </w:p>
        </w:tc>
      </w:tr>
      <w:tr>
        <w:tc>
          <w:tcPr>
            <w:tcW w:type="dxa" w:w="2256"/>
          </w:tcPr>
          <w:p>
            <w:pPr>
              <w:spacing w:line="240" w:lineRule="auto" w:before="40" w:after="40"/>
            </w:pPr>
            <w:r>
              <w:rPr>
                <w:rFonts w:eastAsia="SimSun" w:ascii="Times New Roman" w:hAnsi="Times New Roman" w:cs="Times New Roman"/>
                <w:sz w:val="18"/>
              </w:rPr>
              <w:t>IEP / PPI</w:t>
            </w:r>
          </w:p>
        </w:tc>
        <w:tc>
          <w:tcPr>
            <w:tcW w:type="dxa" w:w="2256"/>
          </w:tcPr>
          <w:p>
            <w:pPr>
              <w:spacing w:line="240" w:lineRule="auto" w:before="40" w:after="40"/>
            </w:pPr>
            <w:r>
              <w:rPr>
                <w:rFonts w:eastAsia="SimSun" w:ascii="Times New Roman" w:hAnsi="Times New Roman" w:cs="Times New Roman"/>
                <w:sz w:val="18"/>
              </w:rPr>
              <w:t>"One student, one plan"; individualised education/teaching plan</w:t>
            </w:r>
          </w:p>
        </w:tc>
        <w:tc>
          <w:tcPr>
            <w:tcW w:type="dxa" w:w="2256"/>
          </w:tcPr>
          <w:p>
            <w:pPr>
              <w:spacing w:line="240" w:lineRule="auto" w:before="40" w:after="40"/>
            </w:pPr>
            <w:r>
              <w:rPr>
                <w:rFonts w:eastAsia="SimSun" w:ascii="Times New Roman" w:hAnsi="Times New Roman" w:cs="Times New Roman"/>
                <w:sz w:val="18"/>
              </w:rPr>
              <w:t>PPI / individualised support; school-based practice</w:t>
            </w:r>
          </w:p>
        </w:tc>
        <w:tc>
          <w:tcPr>
            <w:tcW w:type="dxa" w:w="2258"/>
          </w:tcPr>
          <w:p>
            <w:pPr>
              <w:spacing w:line="240" w:lineRule="auto" w:before="40" w:after="40"/>
            </w:pPr>
            <w:r>
              <w:rPr>
                <w:rFonts w:eastAsia="SimSun" w:ascii="Times New Roman" w:hAnsi="Times New Roman" w:cs="Times New Roman"/>
                <w:sz w:val="18"/>
              </w:rPr>
              <w:t>IEP or individualised transition plan; varies by setting</w:t>
            </w:r>
          </w:p>
        </w:tc>
      </w:tr>
      <w:tr>
        <w:tc>
          <w:tcPr>
            <w:tcW w:type="dxa" w:w="2256"/>
          </w:tcPr>
          <w:p>
            <w:pPr>
              <w:spacing w:line="240" w:lineRule="auto" w:before="40" w:after="40"/>
            </w:pPr>
            <w:r>
              <w:rPr>
                <w:rFonts w:eastAsia="SimSun" w:ascii="Times New Roman" w:hAnsi="Times New Roman" w:cs="Times New Roman"/>
                <w:sz w:val="18"/>
              </w:rPr>
              <w:t>In-class support</w:t>
            </w:r>
          </w:p>
        </w:tc>
        <w:tc>
          <w:tcPr>
            <w:tcW w:type="dxa" w:w="2256"/>
          </w:tcPr>
          <w:p>
            <w:pPr>
              <w:spacing w:line="240" w:lineRule="auto" w:before="40" w:after="40"/>
            </w:pPr>
            <w:r>
              <w:rPr>
                <w:rFonts w:eastAsia="SimSun" w:ascii="Times New Roman" w:hAnsi="Times New Roman" w:cs="Times New Roman"/>
                <w:sz w:val="18"/>
              </w:rPr>
              <w:t>Joint adjustment of curriculum and environment with mainstream teachers</w:t>
            </w:r>
          </w:p>
        </w:tc>
        <w:tc>
          <w:tcPr>
            <w:tcW w:type="dxa" w:w="2256"/>
          </w:tcPr>
          <w:p>
            <w:pPr>
              <w:spacing w:line="240" w:lineRule="auto" w:before="40" w:after="40"/>
            </w:pPr>
            <w:r>
              <w:rPr>
                <w:rFonts w:eastAsia="SimSun" w:ascii="Times New Roman" w:hAnsi="Times New Roman" w:cs="Times New Roman"/>
                <w:sz w:val="18"/>
              </w:rPr>
              <w:t>Differentiated instruction in regular classes</w:t>
            </w:r>
          </w:p>
        </w:tc>
        <w:tc>
          <w:tcPr>
            <w:tcW w:type="dxa" w:w="2258"/>
          </w:tcPr>
          <w:p>
            <w:pPr>
              <w:spacing w:line="240" w:lineRule="auto" w:before="40" w:after="40"/>
            </w:pPr>
            <w:r>
              <w:rPr>
                <w:rFonts w:eastAsia="SimSun" w:ascii="Times New Roman" w:hAnsi="Times New Roman" w:cs="Times New Roman"/>
                <w:sz w:val="18"/>
              </w:rPr>
              <w:t>AED(LBS) supports jointly with teachers</w:t>
            </w:r>
          </w:p>
        </w:tc>
      </w:tr>
      <w:tr>
        <w:tc>
          <w:tcPr>
            <w:tcW w:type="dxa" w:w="2256"/>
          </w:tcPr>
          <w:p>
            <w:pPr>
              <w:spacing w:line="240" w:lineRule="auto" w:before="40" w:after="40"/>
            </w:pPr>
            <w:r>
              <w:rPr>
                <w:rFonts w:eastAsia="SimSun" w:ascii="Times New Roman" w:hAnsi="Times New Roman" w:cs="Times New Roman"/>
                <w:sz w:val="18"/>
              </w:rPr>
              <w:t>Withdrawal support</w:t>
            </w:r>
          </w:p>
        </w:tc>
        <w:tc>
          <w:tcPr>
            <w:tcW w:type="dxa" w:w="2256"/>
          </w:tcPr>
          <w:p>
            <w:pPr>
              <w:spacing w:line="240" w:lineRule="auto" w:before="40" w:after="40"/>
            </w:pPr>
            <w:r>
              <w:rPr>
                <w:rFonts w:eastAsia="SimSun" w:ascii="Times New Roman" w:hAnsi="Times New Roman" w:cs="Times New Roman"/>
                <w:sz w:val="18"/>
              </w:rPr>
              <w:t>Resource room / resource teacher</w:t>
            </w:r>
          </w:p>
        </w:tc>
        <w:tc>
          <w:tcPr>
            <w:tcW w:type="dxa" w:w="2256"/>
          </w:tcPr>
          <w:p>
            <w:pPr>
              <w:spacing w:line="240" w:lineRule="auto" w:before="40" w:after="40"/>
            </w:pPr>
            <w:r>
              <w:rPr>
                <w:rFonts w:eastAsia="SimSun" w:ascii="Times New Roman" w:hAnsi="Times New Roman" w:cs="Times New Roman"/>
                <w:sz w:val="18"/>
              </w:rPr>
              <w:t>PPKI / resource teacher</w:t>
            </w:r>
          </w:p>
        </w:tc>
        <w:tc>
          <w:tcPr>
            <w:tcW w:type="dxa" w:w="2258"/>
          </w:tcPr>
          <w:p>
            <w:pPr>
              <w:spacing w:line="240" w:lineRule="auto" w:before="40" w:after="40"/>
            </w:pPr>
            <w:r>
              <w:rPr>
                <w:rFonts w:eastAsia="SimSun" w:ascii="Times New Roman" w:hAnsi="Times New Roman" w:cs="Times New Roman"/>
                <w:sz w:val="18"/>
              </w:rPr>
              <w:t>AED(LBS) small-group or withdrawal support</w:t>
            </w:r>
          </w:p>
        </w:tc>
      </w:tr>
      <w:tr>
        <w:tc>
          <w:tcPr>
            <w:tcW w:type="dxa" w:w="2256"/>
          </w:tcPr>
          <w:p>
            <w:pPr>
              <w:spacing w:line="240" w:lineRule="auto" w:before="40" w:after="40"/>
            </w:pPr>
            <w:r>
              <w:rPr>
                <w:rFonts w:eastAsia="SimSun" w:ascii="Times New Roman" w:hAnsi="Times New Roman" w:cs="Times New Roman"/>
                <w:sz w:val="18"/>
              </w:rPr>
              <w:t>Teacher / parent training</w:t>
            </w:r>
          </w:p>
        </w:tc>
        <w:tc>
          <w:tcPr>
            <w:tcW w:type="dxa" w:w="2256"/>
          </w:tcPr>
          <w:p>
            <w:pPr>
              <w:spacing w:line="240" w:lineRule="auto" w:before="40" w:after="40"/>
            </w:pPr>
            <w:r>
              <w:rPr>
                <w:rFonts w:eastAsia="SimSun" w:ascii="Times New Roman" w:hAnsi="Times New Roman" w:cs="Times New Roman"/>
                <w:sz w:val="18"/>
              </w:rPr>
              <w:t>Explicitly listed among itinerant duties</w:t>
            </w:r>
          </w:p>
        </w:tc>
        <w:tc>
          <w:tcPr>
            <w:tcW w:type="dxa" w:w="2256"/>
          </w:tcPr>
          <w:p>
            <w:pPr>
              <w:spacing w:line="240" w:lineRule="auto" w:before="40" w:after="40"/>
            </w:pPr>
            <w:r>
              <w:rPr>
                <w:rFonts w:eastAsia="SimSun" w:ascii="Times New Roman" w:hAnsi="Times New Roman" w:cs="Times New Roman"/>
                <w:sz w:val="18"/>
              </w:rPr>
              <w:t>In-school and 3PK training support</w:t>
            </w:r>
          </w:p>
        </w:tc>
        <w:tc>
          <w:tcPr>
            <w:tcW w:type="dxa" w:w="2258"/>
          </w:tcPr>
          <w:p>
            <w:pPr>
              <w:spacing w:line="240" w:lineRule="auto" w:before="40" w:after="40"/>
            </w:pPr>
            <w:r>
              <w:rPr>
                <w:rFonts w:eastAsia="SimSun" w:ascii="Times New Roman" w:hAnsi="Times New Roman" w:cs="Times New Roman"/>
                <w:sz w:val="18"/>
              </w:rPr>
              <w:t>School teams and professional development support</w:t>
            </w:r>
          </w:p>
        </w:tc>
      </w:tr>
      <w:tr>
        <w:tc>
          <w:tcPr>
            <w:tcW w:type="dxa" w:w="2256"/>
          </w:tcPr>
          <w:p>
            <w:pPr>
              <w:spacing w:line="240" w:lineRule="auto" w:before="40" w:after="40"/>
            </w:pPr>
            <w:r>
              <w:rPr>
                <w:rFonts w:eastAsia="SimSun" w:ascii="Times New Roman" w:hAnsi="Times New Roman" w:cs="Times New Roman"/>
                <w:sz w:val="18"/>
              </w:rPr>
              <w:t>Transition</w:t>
            </w:r>
          </w:p>
        </w:tc>
        <w:tc>
          <w:tcPr>
            <w:tcW w:type="dxa" w:w="2256"/>
          </w:tcPr>
          <w:p>
            <w:pPr>
              <w:spacing w:line="240" w:lineRule="auto" w:before="40" w:after="40"/>
            </w:pPr>
            <w:r>
              <w:rPr>
                <w:rFonts w:eastAsia="SimSun" w:ascii="Times New Roman" w:hAnsi="Times New Roman" w:cs="Times New Roman"/>
                <w:sz w:val="18"/>
              </w:rPr>
              <w:t>Reassessment; recommendations on regular class–special school (class)</w:t>
            </w:r>
          </w:p>
        </w:tc>
        <w:tc>
          <w:tcPr>
            <w:tcW w:type="dxa" w:w="2256"/>
          </w:tcPr>
          <w:p>
            <w:pPr>
              <w:spacing w:line="240" w:lineRule="auto" w:before="40" w:after="40"/>
            </w:pPr>
            <w:r>
              <w:rPr>
                <w:rFonts w:eastAsia="SimSun" w:ascii="Times New Roman" w:hAnsi="Times New Roman" w:cs="Times New Roman"/>
                <w:sz w:val="18"/>
              </w:rPr>
              <w:t>Regular class–PPKI / resource support</w:t>
            </w:r>
          </w:p>
        </w:tc>
        <w:tc>
          <w:tcPr>
            <w:tcW w:type="dxa" w:w="2258"/>
          </w:tcPr>
          <w:p>
            <w:pPr>
              <w:spacing w:line="240" w:lineRule="auto" w:before="40" w:after="40"/>
            </w:pPr>
            <w:r>
              <w:rPr>
                <w:rFonts w:eastAsia="SimSun" w:ascii="Times New Roman" w:hAnsi="Times New Roman" w:cs="Times New Roman"/>
                <w:sz w:val="18"/>
              </w:rPr>
              <w:t>Mainstream–SPED; school–employment / higher education</w:t>
            </w:r>
          </w:p>
        </w:tc>
      </w:tr>
      <w:tr>
        <w:tc>
          <w:tcPr>
            <w:tcW w:type="dxa" w:w="2256"/>
          </w:tcPr>
          <w:p>
            <w:pPr>
              <w:spacing w:line="240" w:lineRule="auto" w:before="40" w:after="40"/>
            </w:pPr>
            <w:r>
              <w:rPr>
                <w:rFonts w:eastAsia="SimSun" w:ascii="Times New Roman" w:hAnsi="Times New Roman" w:cs="Times New Roman"/>
                <w:sz w:val="18"/>
              </w:rPr>
              <w:t>Quality evaluation</w:t>
            </w:r>
          </w:p>
        </w:tc>
        <w:tc>
          <w:tcPr>
            <w:tcW w:type="dxa" w:w="2256"/>
          </w:tcPr>
          <w:p>
            <w:pPr>
              <w:spacing w:line="240" w:lineRule="auto" w:before="40" w:after="40"/>
            </w:pPr>
            <w:r>
              <w:rPr>
                <w:rFonts w:eastAsia="SimSun" w:ascii="Times New Roman" w:hAnsi="Times New Roman" w:cs="Times New Roman"/>
                <w:sz w:val="18"/>
              </w:rPr>
              <w:t>Explicit in quality evaluation guidelines</w:t>
            </w:r>
          </w:p>
        </w:tc>
        <w:tc>
          <w:tcPr>
            <w:tcW w:type="dxa" w:w="2256"/>
          </w:tcPr>
          <w:p>
            <w:pPr>
              <w:spacing w:line="240" w:lineRule="auto" w:before="40" w:after="40"/>
            </w:pPr>
            <w:r>
              <w:rPr>
                <w:rFonts w:eastAsia="SimSun" w:ascii="Times New Roman" w:hAnsi="Times New Roman" w:cs="Times New Roman"/>
                <w:sz w:val="18"/>
              </w:rPr>
              <w:t>Being strengthened; indicators insufficient</w:t>
            </w:r>
          </w:p>
        </w:tc>
        <w:tc>
          <w:tcPr>
            <w:tcW w:type="dxa" w:w="2258"/>
          </w:tcPr>
          <w:p>
            <w:pPr>
              <w:spacing w:line="240" w:lineRule="auto" w:before="40" w:after="40"/>
            </w:pPr>
            <w:r>
              <w:rPr>
                <w:rFonts w:eastAsia="SimSun" w:ascii="Times New Roman" w:hAnsi="Times New Roman" w:cs="Times New Roman"/>
                <w:sz w:val="18"/>
              </w:rPr>
              <w:t>Mainly MOE and internal school management</w:t>
            </w:r>
          </w:p>
        </w:tc>
      </w:tr>
    </w:tbl>
    <w:p>
      <w:pPr>
        <w:spacing w:line="240" w:lineRule="auto"/>
      </w:pPr>
      <w:r>
        <w:rPr>
          <w:sz w:val="12"/>
        </w:rPr>
      </w:r>
    </w:p>
    <w:p>
      <w:pPr>
        <w:pStyle w:val="Heading2"/>
      </w:pPr>
      <w:r>
        <w:rPr>
          <w:rFonts w:ascii="Times New Roman" w:hAnsi="Times New Roman" w:eastAsia="SimSun"/>
        </w:rPr>
        <w:t>6.5 Comparison Summary</w:t>
      </w:r>
    </w:p>
    <w:p>
      <w:pPr>
        <w:spacing w:line="480" w:lineRule="auto" w:before="0" w:after="0"/>
        <w:ind w:firstLine="720"/>
      </w:pPr>
      <w:r>
        <w:rPr>
          <w:rFonts w:ascii="Times New Roman" w:hAnsi="Times New Roman" w:eastAsia="SimSun"/>
          <w:b w:val="0"/>
          <w:i w:val="0"/>
          <w:sz w:val="24"/>
        </w:rPr>
        <w:t xml:space="preserve">A shared trend across the three systems is the shift from "remedial teaching" toward "systemic support capacity"—not merely teaching students, but building the capacity of mainstream teachers and schools to accommodate them. The key difference lies in </w:t>
      </w:r>
      <w:r>
        <w:rPr>
          <w:rFonts w:ascii="Times New Roman" w:hAnsi="Times New Roman" w:eastAsia="SimSun"/>
          <w:b/>
          <w:i w:val="0"/>
          <w:sz w:val="24"/>
        </w:rPr>
        <w:t>evaluation orientation</w:t>
      </w:r>
      <w:r>
        <w:rPr>
          <w:rFonts w:ascii="Times New Roman" w:hAnsi="Times New Roman" w:eastAsia="SimSun"/>
          <w:b w:val="0"/>
          <w:i w:val="0"/>
          <w:sz w:val="24"/>
        </w:rPr>
        <w:t>: China has established a multi-layered quality evaluation framework; Malaysia is strengthening service-centre quality but lacks adequate indicators; Singapore relies mainly on internal school management. If quality evaluation checks only "whether a school was visited" or "whether a form was completed," itinerant service degenerates into an audit of travel (D).</w:t>
      </w:r>
    </w:p>
    <w:p>
      <w:pPr>
        <w:spacing w:line="360" w:lineRule="auto" w:before="0" w:after="120"/>
      </w:pPr>
      <w:r>
        <w:rPr>
          <w:rFonts w:ascii="Times New Roman" w:hAnsi="Times New Roman" w:eastAsia="SimSun"/>
          <w:b w:val="0"/>
          <w:i/>
          <w:sz w:val="21"/>
        </w:rPr>
        <w:t>Evidence strength note: Chinese processes are A; Malaysia is C; Singapore is C; cross-institutional generalisation is D.</w:t>
      </w:r>
    </w:p>
    <w:p>
      <w:pPr>
        <w:pStyle w:val="Heading1"/>
      </w:pPr>
      <w:r>
        <w:rPr>
          <w:rFonts w:ascii="Times New Roman" w:hAnsi="Times New Roman" w:eastAsia="SimSun"/>
        </w:rPr>
        <w:t>7. Qualifications, Training Pathways, and Teacher Supply</w:t>
      </w:r>
    </w:p>
    <w:p>
      <w:pPr>
        <w:pStyle w:val="Heading2"/>
      </w:pPr>
      <w:r>
        <w:rPr>
          <w:rFonts w:ascii="Times New Roman" w:hAnsi="Times New Roman" w:eastAsia="SimSun"/>
        </w:rPr>
        <w:t>7.1 China: Dual Thresholds Plus Local Exploration of Workload Accounting</w:t>
      </w:r>
    </w:p>
    <w:p>
      <w:pPr>
        <w:spacing w:line="480" w:lineRule="auto" w:before="0" w:after="0"/>
        <w:ind w:firstLine="720"/>
      </w:pPr>
      <w:r>
        <w:rPr>
          <w:rFonts w:ascii="Times New Roman" w:hAnsi="Times New Roman" w:eastAsia="SimSun"/>
          <w:b w:val="0"/>
          <w:i w:val="0"/>
          <w:sz w:val="24"/>
        </w:rPr>
        <w:t>The 2020 guiding opinions require resource teachers and itinerant guidance teachers to have graduated from a special education programme, or to have completed special education training organised by the provincial education administrative department and passed the corresponding assessment, and to possess substantial experience in special education and rehabilitation training (MOE China, 2020). Local standards quantify this further: Bao'an requires resource and itinerant teachers to receive no fewer than 360 periods of whole-staff training every five years (Bao'an Education Bureau, 2023); Pudong requires full-time special education teachers to have passed municipal post training or to hold a special education degree (Pudong Education Bureau, 2023).</w:t>
      </w:r>
    </w:p>
    <w:p>
      <w:pPr>
        <w:spacing w:line="480" w:lineRule="auto" w:before="0" w:after="0"/>
        <w:ind w:firstLine="720"/>
      </w:pPr>
      <w:r>
        <w:rPr>
          <w:rFonts w:ascii="Times New Roman" w:hAnsi="Times New Roman" w:eastAsia="SimSun"/>
          <w:b w:val="0"/>
          <w:i w:val="0"/>
          <w:sz w:val="24"/>
        </w:rPr>
        <w:t xml:space="preserve">On remuneration and workload, the </w:t>
      </w:r>
      <w:r>
        <w:rPr>
          <w:rFonts w:ascii="Times New Roman" w:hAnsi="Times New Roman" w:eastAsia="SimSun"/>
          <w:b w:val="0"/>
          <w:i/>
          <w:sz w:val="24"/>
        </w:rPr>
        <w:t>Regulations on Education for Persons with Disabilities</w:t>
      </w:r>
      <w:r>
        <w:rPr>
          <w:rFonts w:ascii="Times New Roman" w:hAnsi="Times New Roman" w:eastAsia="SimSun"/>
          <w:b w:val="0"/>
          <w:i w:val="0"/>
          <w:sz w:val="24"/>
        </w:rPr>
        <w:t xml:space="preserve"> require special education teachers to receive post allowances and related benefits, with differentiated evaluation and preferential treatment in professional title appointment (State Council, 2017). Changsha stipulates that for each student with a disability in a regular class, the teacher's workload coefficient increases by at least 0.2, the class teacher's by at least 0.3, the part-time resource teacher's by at least 0.6, and the itinerant guidance teacher's by at least 0.6 (Changsha Education Bureau, 2023). This comes closer to calculable workload than simply paying an allowance, but it remains local practice and cannot be extrapolated nationwide. The ministry has also emphasised building "basic competencies" to develop a high-quality special education teaching workforce (MOE China, 2023).</w:t>
      </w:r>
    </w:p>
    <w:p>
      <w:pPr>
        <w:spacing w:line="480" w:lineRule="auto" w:before="0" w:after="0"/>
        <w:ind w:firstLine="720"/>
      </w:pPr>
      <w:r>
        <w:rPr>
          <w:rFonts w:ascii="Times New Roman" w:hAnsi="Times New Roman" w:eastAsia="SimSun"/>
          <w:b w:val="0"/>
          <w:i w:val="0"/>
          <w:sz w:val="24"/>
        </w:rPr>
        <w:t>China has not yet formed a nationally uniform system of professional titles, post grades, and workload conversion for itinerant teachers, and this is the principal uncertainty in implementation (D). Scholarship further indicates that the professional competence of itinerant guidance teachers comprises professional knowledge, professional ability, professional attitudes, and situated practical knowledge, and that their "practical knowledge" is generated mainly through daily visits, negotiation with mainstream teachers, and handling concrete cases—it is difficult to acquire through one-off pre-service training (Zhou, Li, et al., 2022; Feng, 2024). This implies that training design should shift from "centralised instruction" toward "sustained guidance in the work situation."</w:t>
      </w:r>
    </w:p>
    <w:p>
      <w:pPr>
        <w:pStyle w:val="Heading2"/>
      </w:pPr>
      <w:r>
        <w:rPr>
          <w:rFonts w:ascii="Times New Roman" w:hAnsi="Times New Roman" w:eastAsia="SimSun"/>
        </w:rPr>
        <w:t>7.2 Malaysia: Differentiated Teacher-Education Tracks Plus Multilingual Demands</w:t>
      </w:r>
    </w:p>
    <w:p>
      <w:pPr>
        <w:spacing w:line="480" w:lineRule="auto" w:before="0" w:after="0"/>
        <w:ind w:firstLine="720"/>
      </w:pPr>
      <w:r>
        <w:rPr>
          <w:rFonts w:ascii="Times New Roman" w:hAnsi="Times New Roman" w:eastAsia="SimSun"/>
          <w:b w:val="0"/>
          <w:i w:val="0"/>
          <w:sz w:val="24"/>
        </w:rPr>
        <w:t>Malaysian special education teacher preparation comes through special education strands in Institut Pendidikan Guru Malaysia (IPGM) / Program Ijazah Sarjana Muda Perguruan (PISMP); publicly available admissions materials indicate that teacher education programmes may offer strands in learning disabilities, hearing impairments, visual impairments, and similar areas. The coexistence of Malay, English, Chinese, and Tamil means teachers need not only special education competence but also the ability to communicate and negotiate with parents across different school streams. Related materials indicate that in raising inclusive education readiness, Malaysia has, in addition to pre-service courses of 45 hours and three credits per semester and in-service training, planned to expand the role of 13 special education service centres (China Education Daily, 2020); other reporting notes insufficient national service-centre numbers and therapist supply, with variation across states in PPKI provision in Chinese-medium primary schools (Sin Chew Daily, 2020). These materials demonstrate institutional investment but are insufficient to establish actual completion rates.</w:t>
      </w:r>
    </w:p>
    <w:p>
      <w:pPr>
        <w:pStyle w:val="Heading2"/>
      </w:pPr>
      <w:r>
        <w:rPr>
          <w:rFonts w:ascii="Times New Roman" w:hAnsi="Times New Roman" w:eastAsia="SimSun"/>
        </w:rPr>
        <w:t>7.3 Singapore: A Career and Competency Framework Plus Differentiated Preparation</w:t>
      </w:r>
    </w:p>
    <w:p>
      <w:pPr>
        <w:spacing w:line="480" w:lineRule="auto" w:before="0" w:after="0"/>
        <w:ind w:firstLine="720"/>
      </w:pPr>
      <w:r>
        <w:rPr>
          <w:rFonts w:ascii="Times New Roman" w:hAnsi="Times New Roman" w:eastAsia="SimSun"/>
          <w:b w:val="0"/>
          <w:i w:val="0"/>
          <w:sz w:val="24"/>
        </w:rPr>
        <w:t xml:space="preserve">SPED teachers are prepared through collaboration between MOE Singapore and voluntary welfare organisations / SPED schools, with the National Institute of Education (NIE) providing specialist support in special education teaching and curriculum. In 2020 MOE Singapore launched "Journeys of Excellence," setting out a career and competency framework, training pathways, and career progression for SPED teachers (MOE Singapore, 2020), which helps convert "having a caring disposition" into observable competencies, curriculum leadership, and professional advancement. AED(LBS) belong to the mainstream-school allied educator category; their recruitment and training pathways are </w:t>
      </w:r>
      <w:r>
        <w:rPr>
          <w:rFonts w:ascii="Times New Roman" w:hAnsi="Times New Roman" w:eastAsia="SimSun"/>
          <w:b/>
          <w:i w:val="0"/>
          <w:sz w:val="24"/>
        </w:rPr>
        <w:t>not equivalent</w:t>
      </w:r>
      <w:r>
        <w:rPr>
          <w:rFonts w:ascii="Times New Roman" w:hAnsi="Times New Roman" w:eastAsia="SimSun"/>
          <w:b w:val="0"/>
          <w:i w:val="0"/>
          <w:sz w:val="24"/>
        </w:rPr>
        <w:t xml:space="preserve"> to the SPED teacher diploma pathway, and the two should not be conflated. Related reporting also indicates that Singapore strengthens its special education teacher support system to stabilise the professional workforce and raise the attractiveness of the career (China Education News Network, 2022).</w:t>
      </w:r>
    </w:p>
    <w:p>
      <w:pPr>
        <w:pStyle w:val="Heading2"/>
      </w:pPr>
      <w:r>
        <w:rPr>
          <w:rFonts w:ascii="Times New Roman" w:hAnsi="Times New Roman" w:eastAsia="SimSun"/>
        </w:rPr>
        <w:t>7.4 Comparative Table of Qualifications and Training</w:t>
      </w:r>
    </w:p>
    <w:tbl>
      <w:tblPr>
        <w:tblW w:type="dxa" w:w="9026"/>
        <w:jc w:val="left"/>
        <w:tblBorders>
          <w:top w:val="single" w:sz="4" w:color="CCCCCC"/>
          <w:left w:val="single" w:sz="4" w:color="CCCCCC"/>
          <w:bottom w:val="single" w:sz="4" w:color="CCCCCC"/>
          <w:right w:val="single" w:sz="4" w:color="CCCCCC"/>
          <w:insideH w:val="single" w:sz="4" w:color="CCCCCC"/>
          <w:insideV w:val="single" w:sz="4" w:color="CCCCCC"/>
        </w:tblBorders>
        <w:tblLayout w:type="fixed"/>
        <w:tblLook w:firstColumn="1" w:firstRow="1" w:lastColumn="0" w:lastRow="0" w:noHBand="0" w:noVBand="1" w:val="04A0"/>
      </w:tblPr>
      <w:tblGrid>
        <w:gridCol w:w="2256"/>
        <w:gridCol w:w="2256"/>
        <w:gridCol w:w="2256"/>
        <w:gridCol w:w="2258"/>
      </w:tblGrid>
      <w:tr>
        <w:tc>
          <w:tcPr>
            <w:tcW w:type="dxa" w:w="2256"/>
            <w:shd w:val="clear" w:color="auto" w:fill="D9D9D9"/>
          </w:tcPr>
          <w:p>
            <w:pPr>
              <w:spacing w:line="240" w:lineRule="auto" w:before="40" w:after="40"/>
            </w:pPr>
            <w:r>
              <w:rPr>
                <w:rFonts w:eastAsia="SimSun" w:ascii="Times New Roman" w:hAnsi="Times New Roman" w:cs="Times New Roman"/>
                <w:b/>
                <w:bCs/>
                <w:sz w:val="18"/>
              </w:rPr>
              <w:t>Dimension</w:t>
            </w:r>
          </w:p>
        </w:tc>
        <w:tc>
          <w:tcPr>
            <w:tcW w:type="dxa" w:w="2256"/>
            <w:shd w:val="clear" w:color="auto" w:fill="D9D9D9"/>
          </w:tcPr>
          <w:p>
            <w:pPr>
              <w:spacing w:line="240" w:lineRule="auto" w:before="40" w:after="40"/>
            </w:pPr>
            <w:r>
              <w:rPr>
                <w:rFonts w:eastAsia="SimSun" w:ascii="Times New Roman" w:hAnsi="Times New Roman" w:cs="Times New Roman"/>
                <w:b/>
                <w:bCs/>
                <w:sz w:val="18"/>
              </w:rPr>
              <w:t>China</w:t>
            </w:r>
          </w:p>
        </w:tc>
        <w:tc>
          <w:tcPr>
            <w:tcW w:type="dxa" w:w="2256"/>
            <w:shd w:val="clear" w:color="auto" w:fill="D9D9D9"/>
          </w:tcPr>
          <w:p>
            <w:pPr>
              <w:spacing w:line="240" w:lineRule="auto" w:before="40" w:after="40"/>
            </w:pPr>
            <w:r>
              <w:rPr>
                <w:rFonts w:eastAsia="SimSun" w:ascii="Times New Roman" w:hAnsi="Times New Roman" w:cs="Times New Roman"/>
                <w:b/>
                <w:bCs/>
                <w:sz w:val="18"/>
              </w:rPr>
              <w:t>Malaysia</w:t>
            </w:r>
          </w:p>
        </w:tc>
        <w:tc>
          <w:tcPr>
            <w:tcW w:type="dxa" w:w="2258"/>
            <w:shd w:val="clear" w:color="auto" w:fill="D9D9D9"/>
          </w:tcPr>
          <w:p>
            <w:pPr>
              <w:spacing w:line="240" w:lineRule="auto" w:before="40" w:after="40"/>
            </w:pPr>
            <w:r>
              <w:rPr>
                <w:rFonts w:eastAsia="SimSun" w:ascii="Times New Roman" w:hAnsi="Times New Roman" w:cs="Times New Roman"/>
                <w:b/>
                <w:bCs/>
                <w:sz w:val="18"/>
              </w:rPr>
              <w:t>Singapore</w:t>
            </w:r>
          </w:p>
        </w:tc>
      </w:tr>
      <w:tr>
        <w:tc>
          <w:tcPr>
            <w:tcW w:type="dxa" w:w="2256"/>
          </w:tcPr>
          <w:p>
            <w:pPr>
              <w:spacing w:line="240" w:lineRule="auto" w:before="40" w:after="40"/>
            </w:pPr>
            <w:r>
              <w:rPr>
                <w:rFonts w:eastAsia="SimSun" w:ascii="Times New Roman" w:hAnsi="Times New Roman" w:cs="Times New Roman"/>
                <w:sz w:val="18"/>
              </w:rPr>
              <w:t>Entry threshold</w:t>
            </w:r>
          </w:p>
        </w:tc>
        <w:tc>
          <w:tcPr>
            <w:tcW w:type="dxa" w:w="2256"/>
          </w:tcPr>
          <w:p>
            <w:pPr>
              <w:spacing w:line="240" w:lineRule="auto" w:before="40" w:after="40"/>
            </w:pPr>
            <w:r>
              <w:rPr>
                <w:rFonts w:eastAsia="SimSun" w:ascii="Times New Roman" w:hAnsi="Times New Roman" w:cs="Times New Roman"/>
                <w:sz w:val="18"/>
              </w:rPr>
              <w:t>Special education degree, or provincial training passed plus substantial experience</w:t>
            </w:r>
          </w:p>
        </w:tc>
        <w:tc>
          <w:tcPr>
            <w:tcW w:type="dxa" w:w="2256"/>
          </w:tcPr>
          <w:p>
            <w:pPr>
              <w:spacing w:line="240" w:lineRule="auto" w:before="40" w:after="40"/>
            </w:pPr>
            <w:r>
              <w:rPr>
                <w:rFonts w:eastAsia="SimSun" w:ascii="Times New Roman" w:hAnsi="Times New Roman" w:cs="Times New Roman"/>
                <w:sz w:val="18"/>
              </w:rPr>
              <w:t>Teacher education with SPED strand; differentiated tracks</w:t>
            </w:r>
          </w:p>
        </w:tc>
        <w:tc>
          <w:tcPr>
            <w:tcW w:type="dxa" w:w="2258"/>
          </w:tcPr>
          <w:p>
            <w:pPr>
              <w:spacing w:line="240" w:lineRule="auto" w:before="40" w:after="40"/>
            </w:pPr>
            <w:r>
              <w:rPr>
                <w:rFonts w:eastAsia="SimSun" w:ascii="Times New Roman" w:hAnsi="Times New Roman" w:cs="Times New Roman"/>
                <w:sz w:val="18"/>
              </w:rPr>
              <w:t>Specialist training and competency framework; AED(LBS) has a separate pathway</w:t>
            </w:r>
          </w:p>
        </w:tc>
      </w:tr>
      <w:tr>
        <w:tc>
          <w:tcPr>
            <w:tcW w:type="dxa" w:w="2256"/>
          </w:tcPr>
          <w:p>
            <w:pPr>
              <w:spacing w:line="240" w:lineRule="auto" w:before="40" w:after="40"/>
            </w:pPr>
            <w:r>
              <w:rPr>
                <w:rFonts w:eastAsia="SimSun" w:ascii="Times New Roman" w:hAnsi="Times New Roman" w:cs="Times New Roman"/>
                <w:sz w:val="18"/>
              </w:rPr>
              <w:t>In-service training</w:t>
            </w:r>
          </w:p>
        </w:tc>
        <w:tc>
          <w:tcPr>
            <w:tcW w:type="dxa" w:w="2256"/>
          </w:tcPr>
          <w:p>
            <w:pPr>
              <w:spacing w:line="240" w:lineRule="auto" w:before="40" w:after="40"/>
            </w:pPr>
            <w:r>
              <w:rPr>
                <w:rFonts w:eastAsia="SimSun" w:ascii="Times New Roman" w:hAnsi="Times New Roman" w:cs="Times New Roman"/>
                <w:sz w:val="18"/>
              </w:rPr>
              <w:t>Bao'an: no fewer than 360 periods over five years</w:t>
            </w:r>
          </w:p>
        </w:tc>
        <w:tc>
          <w:tcPr>
            <w:tcW w:type="dxa" w:w="2256"/>
          </w:tcPr>
          <w:p>
            <w:pPr>
              <w:spacing w:line="240" w:lineRule="auto" w:before="40" w:after="40"/>
            </w:pPr>
            <w:r>
              <w:rPr>
                <w:rFonts w:eastAsia="SimSun" w:ascii="Times New Roman" w:hAnsi="Times New Roman" w:cs="Times New Roman"/>
                <w:sz w:val="18"/>
              </w:rPr>
              <w:t>In-service training and service-centre support; completion rate unknown</w:t>
            </w:r>
          </w:p>
        </w:tc>
        <w:tc>
          <w:tcPr>
            <w:tcW w:type="dxa" w:w="2258"/>
          </w:tcPr>
          <w:p>
            <w:pPr>
              <w:spacing w:line="240" w:lineRule="auto" w:before="40" w:after="40"/>
            </w:pPr>
            <w:r>
              <w:rPr>
                <w:rFonts w:eastAsia="SimSun" w:ascii="Times New Roman" w:hAnsi="Times New Roman" w:cs="Times New Roman"/>
                <w:sz w:val="18"/>
              </w:rPr>
              <w:t>Continuing professional development and career ladder</w:t>
            </w:r>
          </w:p>
        </w:tc>
      </w:tr>
      <w:tr>
        <w:tc>
          <w:tcPr>
            <w:tcW w:type="dxa" w:w="2256"/>
          </w:tcPr>
          <w:p>
            <w:pPr>
              <w:spacing w:line="240" w:lineRule="auto" w:before="40" w:after="40"/>
            </w:pPr>
            <w:r>
              <w:rPr>
                <w:rFonts w:eastAsia="SimSun" w:ascii="Times New Roman" w:hAnsi="Times New Roman" w:cs="Times New Roman"/>
                <w:sz w:val="18"/>
              </w:rPr>
              <w:t>Training providers</w:t>
            </w:r>
          </w:p>
        </w:tc>
        <w:tc>
          <w:tcPr>
            <w:tcW w:type="dxa" w:w="2256"/>
          </w:tcPr>
          <w:p>
            <w:pPr>
              <w:spacing w:line="240" w:lineRule="auto" w:before="40" w:after="40"/>
            </w:pPr>
            <w:r>
              <w:rPr>
                <w:rFonts w:eastAsia="SimSun" w:ascii="Times New Roman" w:hAnsi="Times New Roman" w:cs="Times New Roman"/>
                <w:sz w:val="18"/>
              </w:rPr>
              <w:t>University SPED programmes; national/provincial training; local post courses</w:t>
            </w:r>
          </w:p>
        </w:tc>
        <w:tc>
          <w:tcPr>
            <w:tcW w:type="dxa" w:w="2256"/>
          </w:tcPr>
          <w:p>
            <w:pPr>
              <w:spacing w:line="240" w:lineRule="auto" w:before="40" w:after="40"/>
            </w:pPr>
            <w:r>
              <w:rPr>
                <w:rFonts w:eastAsia="SimSun" w:ascii="Times New Roman" w:hAnsi="Times New Roman" w:cs="Times New Roman"/>
                <w:sz w:val="18"/>
              </w:rPr>
              <w:t>IPGM / PISMP; university SPED courses</w:t>
            </w:r>
          </w:p>
        </w:tc>
        <w:tc>
          <w:tcPr>
            <w:tcW w:type="dxa" w:w="2258"/>
          </w:tcPr>
          <w:p>
            <w:pPr>
              <w:spacing w:line="240" w:lineRule="auto" w:before="40" w:after="40"/>
            </w:pPr>
            <w:r>
              <w:rPr>
                <w:rFonts w:eastAsia="SimSun" w:ascii="Times New Roman" w:hAnsi="Times New Roman" w:cs="Times New Roman"/>
                <w:sz w:val="18"/>
              </w:rPr>
              <w:t>NIE; MOE collaboration with SPED schools</w:t>
            </w:r>
          </w:p>
        </w:tc>
      </w:tr>
      <w:tr>
        <w:tc>
          <w:tcPr>
            <w:tcW w:type="dxa" w:w="2256"/>
          </w:tcPr>
          <w:p>
            <w:pPr>
              <w:spacing w:line="240" w:lineRule="auto" w:before="40" w:after="40"/>
            </w:pPr>
            <w:r>
              <w:rPr>
                <w:rFonts w:eastAsia="SimSun" w:ascii="Times New Roman" w:hAnsi="Times New Roman" w:cs="Times New Roman"/>
                <w:sz w:val="18"/>
              </w:rPr>
              <w:t>Workload accounting</w:t>
            </w:r>
          </w:p>
        </w:tc>
        <w:tc>
          <w:tcPr>
            <w:tcW w:type="dxa" w:w="2256"/>
          </w:tcPr>
          <w:p>
            <w:pPr>
              <w:spacing w:line="240" w:lineRule="auto" w:before="40" w:after="40"/>
            </w:pPr>
            <w:r>
              <w:rPr>
                <w:rFonts w:eastAsia="SimSun" w:ascii="Times New Roman" w:hAnsi="Times New Roman" w:cs="Times New Roman"/>
                <w:sz w:val="18"/>
              </w:rPr>
              <w:t>Local pilot (Changsha coefficient ≥ 0.6)</w:t>
            </w:r>
          </w:p>
        </w:tc>
        <w:tc>
          <w:tcPr>
            <w:tcW w:type="dxa" w:w="2256"/>
          </w:tcPr>
          <w:p>
            <w:pPr>
              <w:spacing w:line="240" w:lineRule="auto" w:before="40" w:after="40"/>
            </w:pPr>
            <w:r>
              <w:rPr>
                <w:rFonts w:eastAsia="SimSun" w:ascii="Times New Roman" w:hAnsi="Times New Roman" w:cs="Times New Roman"/>
                <w:sz w:val="18"/>
              </w:rPr>
              <w:t>No unified public standard identified</w:t>
            </w:r>
          </w:p>
        </w:tc>
        <w:tc>
          <w:tcPr>
            <w:tcW w:type="dxa" w:w="2258"/>
          </w:tcPr>
          <w:p>
            <w:pPr>
              <w:spacing w:line="240" w:lineRule="auto" w:before="40" w:after="40"/>
            </w:pPr>
            <w:r>
              <w:rPr>
                <w:rFonts w:eastAsia="SimSun" w:ascii="Times New Roman" w:hAnsi="Times New Roman" w:cs="Times New Roman"/>
                <w:sz w:val="18"/>
              </w:rPr>
              <w:t>No unified public standard identified</w:t>
            </w:r>
          </w:p>
        </w:tc>
      </w:tr>
      <w:tr>
        <w:tc>
          <w:tcPr>
            <w:tcW w:type="dxa" w:w="2256"/>
          </w:tcPr>
          <w:p>
            <w:pPr>
              <w:spacing w:line="240" w:lineRule="auto" w:before="40" w:after="40"/>
            </w:pPr>
            <w:r>
              <w:rPr>
                <w:rFonts w:eastAsia="SimSun" w:ascii="Times New Roman" w:hAnsi="Times New Roman" w:cs="Times New Roman"/>
                <w:sz w:val="18"/>
              </w:rPr>
              <w:t>Career progression</w:t>
            </w:r>
          </w:p>
        </w:tc>
        <w:tc>
          <w:tcPr>
            <w:tcW w:type="dxa" w:w="2256"/>
          </w:tcPr>
          <w:p>
            <w:pPr>
              <w:spacing w:line="240" w:lineRule="auto" w:before="40" w:after="40"/>
            </w:pPr>
            <w:r>
              <w:rPr>
                <w:rFonts w:eastAsia="SimSun" w:ascii="Times New Roman" w:hAnsi="Times New Roman" w:cs="Times New Roman"/>
                <w:sz w:val="18"/>
              </w:rPr>
              <w:t>Title preference; no national itinerant post grading</w:t>
            </w:r>
          </w:p>
        </w:tc>
        <w:tc>
          <w:tcPr>
            <w:tcW w:type="dxa" w:w="2256"/>
          </w:tcPr>
          <w:p>
            <w:pPr>
              <w:spacing w:line="240" w:lineRule="auto" w:before="40" w:after="40"/>
            </w:pPr>
            <w:r>
              <w:rPr>
                <w:rFonts w:eastAsia="SimSun" w:ascii="Times New Roman" w:hAnsi="Times New Roman" w:cs="Times New Roman"/>
                <w:sz w:val="18"/>
              </w:rPr>
              <w:t>Follows civil service / teacher system</w:t>
            </w:r>
          </w:p>
        </w:tc>
        <w:tc>
          <w:tcPr>
            <w:tcW w:type="dxa" w:w="2258"/>
          </w:tcPr>
          <w:p>
            <w:pPr>
              <w:spacing w:line="240" w:lineRule="auto" w:before="40" w:after="40"/>
            </w:pPr>
            <w:r>
              <w:rPr>
                <w:rFonts w:eastAsia="SimSun" w:ascii="Times New Roman" w:hAnsi="Times New Roman" w:cs="Times New Roman"/>
                <w:sz w:val="18"/>
              </w:rPr>
              <w:t>SPED career and competency framework relatively clear</w:t>
            </w:r>
          </w:p>
        </w:tc>
      </w:tr>
      <w:tr>
        <w:tc>
          <w:tcPr>
            <w:tcW w:type="dxa" w:w="2256"/>
          </w:tcPr>
          <w:p>
            <w:pPr>
              <w:spacing w:line="240" w:lineRule="auto" w:before="40" w:after="40"/>
            </w:pPr>
            <w:r>
              <w:rPr>
                <w:rFonts w:eastAsia="SimSun" w:ascii="Times New Roman" w:hAnsi="Times New Roman" w:cs="Times New Roman"/>
                <w:sz w:val="18"/>
              </w:rPr>
              <w:t>Supply data</w:t>
            </w:r>
          </w:p>
        </w:tc>
        <w:tc>
          <w:tcPr>
            <w:tcW w:type="dxa" w:w="2256"/>
          </w:tcPr>
          <w:p>
            <w:pPr>
              <w:spacing w:line="240" w:lineRule="auto" w:before="40" w:after="40"/>
            </w:pPr>
            <w:r>
              <w:rPr>
                <w:rFonts w:eastAsia="SimSun" w:ascii="Times New Roman" w:hAnsi="Times New Roman" w:cs="Times New Roman"/>
                <w:sz w:val="18"/>
              </w:rPr>
              <w:t>81,300 full-time special education teachers nationally (MOE China, 2025)</w:t>
            </w:r>
          </w:p>
        </w:tc>
        <w:tc>
          <w:tcPr>
            <w:tcW w:type="dxa" w:w="2256"/>
          </w:tcPr>
          <w:p>
            <w:pPr>
              <w:spacing w:line="240" w:lineRule="auto" w:before="40" w:after="40"/>
            </w:pPr>
            <w:r>
              <w:rPr>
                <w:rFonts w:eastAsia="SimSun" w:ascii="Times New Roman" w:hAnsi="Times New Roman" w:cs="Times New Roman"/>
                <w:sz w:val="18"/>
              </w:rPr>
              <w:t>Latest national figures disaggregated by PPKI/MBK not obtained</w:t>
            </w:r>
          </w:p>
        </w:tc>
        <w:tc>
          <w:tcPr>
            <w:tcW w:type="dxa" w:w="2258"/>
          </w:tcPr>
          <w:p>
            <w:pPr>
              <w:spacing w:line="240" w:lineRule="auto" w:before="40" w:after="40"/>
            </w:pPr>
            <w:r>
              <w:rPr>
                <w:rFonts w:eastAsia="SimSun" w:ascii="Times New Roman" w:hAnsi="Times New Roman" w:cs="Times New Roman"/>
                <w:sz w:val="18"/>
              </w:rPr>
              <w:t>Official headcounts for AED(LBS) and SEN officers not obtained</w:t>
            </w:r>
          </w:p>
        </w:tc>
      </w:tr>
    </w:tbl>
    <w:p>
      <w:pPr>
        <w:spacing w:line="240" w:lineRule="auto"/>
      </w:pPr>
      <w:r>
        <w:rPr>
          <w:sz w:val="12"/>
        </w:rPr>
      </w:r>
    </w:p>
    <w:p>
      <w:pPr>
        <w:pStyle w:val="Heading2"/>
      </w:pPr>
      <w:r>
        <w:rPr>
          <w:rFonts w:ascii="Times New Roman" w:hAnsi="Times New Roman" w:eastAsia="SimSun"/>
        </w:rPr>
        <w:t>7.5 A Caution on Comparing Teacher Supply</w:t>
      </w:r>
    </w:p>
    <w:p>
      <w:pPr>
        <w:spacing w:line="480" w:lineRule="auto" w:before="0" w:after="0"/>
        <w:ind w:firstLine="720"/>
      </w:pPr>
      <w:r>
        <w:rPr>
          <w:rFonts w:ascii="Times New Roman" w:hAnsi="Times New Roman" w:eastAsia="SimSun"/>
          <w:b w:val="0"/>
          <w:i w:val="0"/>
          <w:sz w:val="24"/>
        </w:rPr>
        <w:t xml:space="preserve">China publishes aggregate supply data: in 2024 there were 2,396 special education schools and 81,300 full-time special education teachers; 915,900 students were enrolled in special education, of whom 345,400—37.71%—attended special education schools (MOE China, 2025). This indicates overall resources and the scale of inclusion but </w:t>
      </w:r>
      <w:r>
        <w:rPr>
          <w:rFonts w:ascii="Times New Roman" w:hAnsi="Times New Roman" w:eastAsia="SimSun"/>
          <w:b/>
          <w:i w:val="0"/>
          <w:sz w:val="24"/>
        </w:rPr>
        <w:t>cannot</w:t>
      </w:r>
      <w:r>
        <w:rPr>
          <w:rFonts w:ascii="Times New Roman" w:hAnsi="Times New Roman" w:eastAsia="SimSun"/>
          <w:b w:val="0"/>
          <w:i w:val="0"/>
          <w:sz w:val="24"/>
        </w:rPr>
        <w:t xml:space="preserve"> be used to derive the number of itinerant teachers, student–teacher ratios, or service radii. Neither Malaysia nor Singapore publishes comparable headcounts disaggregated by post. This study therefore does not produce a "three-country teacher supply comparison chart": without a shared counting convention, such a figure would manufacture false comparability.</w:t>
      </w:r>
    </w:p>
    <w:p>
      <w:pPr>
        <w:spacing w:line="360" w:lineRule="auto" w:before="0" w:after="120"/>
      </w:pPr>
      <w:r>
        <w:rPr>
          <w:rFonts w:ascii="Times New Roman" w:hAnsi="Times New Roman" w:eastAsia="SimSun"/>
          <w:b w:val="0"/>
          <w:i/>
          <w:sz w:val="21"/>
        </w:rPr>
        <w:t>Evidence strength note: qualification and training are A for China, C for Malaysia, C for Singapore; national supply data are A for China and missing for Malaysia and Singapore; the judgement on professionalisation pathways is D.</w:t>
      </w:r>
    </w:p>
    <w:p>
      <w:pPr>
        <w:pStyle w:val="Heading1"/>
      </w:pPr>
      <w:r>
        <w:rPr>
          <w:rFonts w:ascii="Times New Roman" w:hAnsi="Times New Roman" w:eastAsia="SimSun"/>
        </w:rPr>
        <w:t>8. Cross-Sector Coordination and Policy Transmission</w:t>
      </w:r>
    </w:p>
    <w:p>
      <w:pPr>
        <w:pStyle w:val="Heading2"/>
      </w:pPr>
      <w:r>
        <w:rPr>
          <w:rFonts w:ascii="Times New Roman" w:hAnsi="Times New Roman" w:eastAsia="SimSun"/>
        </w:rPr>
        <w:t>8.1 China: The Most Complete Set of Collaborating Actors, and the Most Prone to "Many Signatures, No Follow-Through"</w:t>
      </w:r>
    </w:p>
    <w:p>
      <w:pPr>
        <w:spacing w:line="480" w:lineRule="auto" w:before="0" w:after="0"/>
        <w:ind w:firstLine="720"/>
      </w:pPr>
      <w:r>
        <w:rPr>
          <w:rFonts w:ascii="Times New Roman" w:hAnsi="Times New Roman" w:eastAsia="SimSun"/>
          <w:b w:val="0"/>
          <w:i w:val="0"/>
          <w:sz w:val="24"/>
        </w:rPr>
        <w:t>The ministry requires long-term mechanisms linking education with development and reform, civil affairs, finance, human resources and social security, health, and the disabled persons' federation; county expert committees conduct assessment, schools carry the "one student, one plan," and the federation and education authorities share enrolment information (MOE China, 2020, 2022b). This loop appears complete, but its actual operation may still be constrained by privacy rules, disconnected information systems, insufficient parental trust, service scheduling, and attribution of funding.</w:t>
      </w:r>
    </w:p>
    <w:p>
      <w:pPr>
        <w:spacing w:line="480" w:lineRule="auto" w:before="0" w:after="0"/>
        <w:ind w:firstLine="720"/>
      </w:pPr>
      <w:r>
        <w:rPr>
          <w:rFonts w:ascii="Times New Roman" w:hAnsi="Times New Roman" w:eastAsia="SimSun"/>
          <w:b w:val="0"/>
          <w:i w:val="0"/>
          <w:sz w:val="24"/>
        </w:rPr>
        <w:t xml:space="preserve">County-level resource centres should function as </w:t>
      </w:r>
      <w:r>
        <w:rPr>
          <w:rFonts w:ascii="Times New Roman" w:hAnsi="Times New Roman" w:eastAsia="SimSun"/>
          <w:b/>
          <w:i w:val="0"/>
          <w:sz w:val="24"/>
        </w:rPr>
        <w:t>cross-sector information filters and professional coordinators</w:t>
      </w:r>
      <w:r>
        <w:rPr>
          <w:rFonts w:ascii="Times New Roman" w:hAnsi="Times New Roman" w:eastAsia="SimSun"/>
          <w:b w:val="0"/>
          <w:i w:val="0"/>
          <w:sz w:val="24"/>
        </w:rPr>
        <w:t>, not as document transfer stations. A more effective mechanism would be: the resource centre consolidates student goals and specifies who implements them, when reassessment occurs, who bears the cost, when feedback is given, and whether parents consent; hospitals and therapists provide transferable strategies rather than one-off diagnoses; schools embed strategies in daily teaching; and the itinerant teacher observes actual classroom performance before reassessment (D).</w:t>
      </w:r>
    </w:p>
    <w:p>
      <w:pPr>
        <w:pStyle w:val="Heading2"/>
      </w:pPr>
      <w:r>
        <w:rPr>
          <w:rFonts w:ascii="Times New Roman" w:hAnsi="Times New Roman" w:eastAsia="SimSun"/>
        </w:rPr>
        <w:t>8.2 Malaysia: Interfaces Among 3PK, Schools, Families, and Therapy Professions</w:t>
      </w:r>
    </w:p>
    <w:p>
      <w:pPr>
        <w:spacing w:line="480" w:lineRule="auto" w:before="0" w:after="0"/>
        <w:ind w:firstLine="720"/>
      </w:pPr>
      <w:r>
        <w:rPr>
          <w:rFonts w:ascii="Times New Roman" w:hAnsi="Times New Roman" w:eastAsia="SimSun"/>
          <w:b w:val="0"/>
          <w:i w:val="0"/>
          <w:sz w:val="24"/>
        </w:rPr>
        <w:t>The 2025 public guidelines indicate that 3PK may comprise psychologists, speech-language therapists, occupational therapists, physiotherapists, and audiologists, entering schools to help teachers adjust instruction while providing training and consultation to parents and teachers (China Education Daily, 2025). The potential advantage is that services originate in the educational setting and are delivered interdisciplinarily; the risk is that rural areas and East Malaysia cannot reliably secure therapists, and that referral rules among 3PK, Jabatan Kebajikan Masyarakat (JKM) welfare services, the Ministry of Health, and schools lack transparency.</w:t>
      </w:r>
    </w:p>
    <w:p>
      <w:pPr>
        <w:pStyle w:val="Heading2"/>
      </w:pPr>
      <w:r>
        <w:rPr>
          <w:rFonts w:ascii="Times New Roman" w:hAnsi="Times New Roman" w:eastAsia="SimSun"/>
        </w:rPr>
        <w:t>8.3 Singapore: Life-Stage Continuity with the School as First Point of Entry</w:t>
      </w:r>
    </w:p>
    <w:p>
      <w:pPr>
        <w:spacing w:line="480" w:lineRule="auto" w:before="0" w:after="0"/>
        <w:ind w:firstLine="720"/>
      </w:pPr>
      <w:r>
        <w:rPr>
          <w:rFonts w:ascii="Times New Roman" w:hAnsi="Times New Roman" w:eastAsia="SimSun"/>
          <w:b w:val="0"/>
          <w:i w:val="0"/>
          <w:sz w:val="24"/>
        </w:rPr>
        <w:t xml:space="preserve">In mainstream schools, teachers, AED(LBS), and student development teams handle day-to-day issues; complex mental health needs are referred to mental health services; transition to further education and employment for students with disabilities draws on SG Enable, voluntary welfare organisations (VWOs), and social service agencies. Enabling Masterplan 2030 emphasises outcome indicators such as employment rates, with SG Enable acting as convener across agencies (MSF &amp; SG Enable, 2022). This means that in Singapore, "itinerancy" matters more in </w:t>
      </w:r>
      <w:r>
        <w:rPr>
          <w:rFonts w:ascii="Times New Roman" w:hAnsi="Times New Roman" w:eastAsia="SimSun"/>
          <w:b/>
          <w:i w:val="0"/>
          <w:sz w:val="24"/>
        </w:rPr>
        <w:t>information and services</w:t>
      </w:r>
      <w:r>
        <w:rPr>
          <w:rFonts w:ascii="Times New Roman" w:hAnsi="Times New Roman" w:eastAsia="SimSun"/>
          <w:b w:val="0"/>
          <w:i w:val="0"/>
          <w:sz w:val="24"/>
        </w:rPr>
        <w:t xml:space="preserve"> than in the geographic movement of personnel.</w:t>
      </w:r>
    </w:p>
    <w:p>
      <w:pPr>
        <w:pStyle w:val="Heading2"/>
      </w:pPr>
      <w:r>
        <w:rPr>
          <w:rFonts w:ascii="Times New Roman" w:hAnsi="Times New Roman" w:eastAsia="SimSun"/>
        </w:rPr>
        <w:t>8.4 Comparative Table of Coordination Networks</w:t>
      </w:r>
    </w:p>
    <w:tbl>
      <w:tblPr>
        <w:tblW w:type="dxa" w:w="9026"/>
        <w:jc w:val="left"/>
        <w:tblBorders>
          <w:top w:val="single" w:sz="4" w:color="CCCCCC"/>
          <w:left w:val="single" w:sz="4" w:color="CCCCCC"/>
          <w:bottom w:val="single" w:sz="4" w:color="CCCCCC"/>
          <w:right w:val="single" w:sz="4" w:color="CCCCCC"/>
          <w:insideH w:val="single" w:sz="4" w:color="CCCCCC"/>
          <w:insideV w:val="single" w:sz="4" w:color="CCCCCC"/>
        </w:tblBorders>
        <w:tblLayout w:type="fixed"/>
        <w:tblLook w:firstColumn="1" w:firstRow="1" w:lastColumn="0" w:lastRow="0" w:noHBand="0" w:noVBand="1" w:val="04A0"/>
      </w:tblPr>
      <w:tblGrid>
        <w:gridCol w:w="2256"/>
        <w:gridCol w:w="2256"/>
        <w:gridCol w:w="2256"/>
        <w:gridCol w:w="2258"/>
      </w:tblGrid>
      <w:tr>
        <w:tc>
          <w:tcPr>
            <w:tcW w:type="dxa" w:w="2256"/>
            <w:shd w:val="clear" w:color="auto" w:fill="D9D9D9"/>
          </w:tcPr>
          <w:p>
            <w:pPr>
              <w:spacing w:line="240" w:lineRule="auto" w:before="40" w:after="40"/>
            </w:pPr>
            <w:r>
              <w:rPr>
                <w:rFonts w:eastAsia="SimSun" w:ascii="Times New Roman" w:hAnsi="Times New Roman" w:cs="Times New Roman"/>
                <w:b/>
                <w:bCs/>
                <w:sz w:val="18"/>
              </w:rPr>
              <w:t>Coordination node</w:t>
            </w:r>
          </w:p>
        </w:tc>
        <w:tc>
          <w:tcPr>
            <w:tcW w:type="dxa" w:w="2256"/>
            <w:shd w:val="clear" w:color="auto" w:fill="D9D9D9"/>
          </w:tcPr>
          <w:p>
            <w:pPr>
              <w:spacing w:line="240" w:lineRule="auto" w:before="40" w:after="40"/>
            </w:pPr>
            <w:r>
              <w:rPr>
                <w:rFonts w:eastAsia="SimSun" w:ascii="Times New Roman" w:hAnsi="Times New Roman" w:cs="Times New Roman"/>
                <w:b/>
                <w:bCs/>
                <w:sz w:val="18"/>
              </w:rPr>
              <w:t>China</w:t>
            </w:r>
          </w:p>
        </w:tc>
        <w:tc>
          <w:tcPr>
            <w:tcW w:type="dxa" w:w="2256"/>
            <w:shd w:val="clear" w:color="auto" w:fill="D9D9D9"/>
          </w:tcPr>
          <w:p>
            <w:pPr>
              <w:spacing w:line="240" w:lineRule="auto" w:before="40" w:after="40"/>
            </w:pPr>
            <w:r>
              <w:rPr>
                <w:rFonts w:eastAsia="SimSun" w:ascii="Times New Roman" w:hAnsi="Times New Roman" w:cs="Times New Roman"/>
                <w:b/>
                <w:bCs/>
                <w:sz w:val="18"/>
              </w:rPr>
              <w:t>Malaysia</w:t>
            </w:r>
          </w:p>
        </w:tc>
        <w:tc>
          <w:tcPr>
            <w:tcW w:type="dxa" w:w="2258"/>
            <w:shd w:val="clear" w:color="auto" w:fill="D9D9D9"/>
          </w:tcPr>
          <w:p>
            <w:pPr>
              <w:spacing w:line="240" w:lineRule="auto" w:before="40" w:after="40"/>
            </w:pPr>
            <w:r>
              <w:rPr>
                <w:rFonts w:eastAsia="SimSun" w:ascii="Times New Roman" w:hAnsi="Times New Roman" w:cs="Times New Roman"/>
                <w:b/>
                <w:bCs/>
                <w:sz w:val="18"/>
              </w:rPr>
              <w:t>Singapore</w:t>
            </w:r>
          </w:p>
        </w:tc>
      </w:tr>
      <w:tr>
        <w:tc>
          <w:tcPr>
            <w:tcW w:type="dxa" w:w="2256"/>
          </w:tcPr>
          <w:p>
            <w:pPr>
              <w:spacing w:line="240" w:lineRule="auto" w:before="40" w:after="40"/>
            </w:pPr>
            <w:r>
              <w:rPr>
                <w:rFonts w:eastAsia="SimSun" w:ascii="Times New Roman" w:hAnsi="Times New Roman" w:cs="Times New Roman"/>
                <w:sz w:val="18"/>
              </w:rPr>
              <w:t>School / principal</w:t>
            </w:r>
          </w:p>
        </w:tc>
        <w:tc>
          <w:tcPr>
            <w:tcW w:type="dxa" w:w="2256"/>
          </w:tcPr>
          <w:p>
            <w:pPr>
              <w:spacing w:line="240" w:lineRule="auto" w:before="40" w:after="40"/>
            </w:pPr>
            <w:r>
              <w:rPr>
                <w:rFonts w:eastAsia="SimSun" w:ascii="Times New Roman" w:hAnsi="Times New Roman" w:cs="Times New Roman"/>
                <w:sz w:val="18"/>
              </w:rPr>
              <w:t>Mainstream schools, resource rooms, responsibility for learning in regular classrooms</w:t>
            </w:r>
          </w:p>
        </w:tc>
        <w:tc>
          <w:tcPr>
            <w:tcW w:type="dxa" w:w="2256"/>
          </w:tcPr>
          <w:p>
            <w:pPr>
              <w:spacing w:line="240" w:lineRule="auto" w:before="40" w:after="40"/>
            </w:pPr>
            <w:r>
              <w:rPr>
                <w:rFonts w:eastAsia="SimSun" w:ascii="Times New Roman" w:hAnsi="Times New Roman" w:cs="Times New Roman"/>
                <w:sz w:val="18"/>
              </w:rPr>
              <w:t>Regular classes, PPKI, school leadership</w:t>
            </w:r>
          </w:p>
        </w:tc>
        <w:tc>
          <w:tcPr>
            <w:tcW w:type="dxa" w:w="2258"/>
          </w:tcPr>
          <w:p>
            <w:pPr>
              <w:spacing w:line="240" w:lineRule="auto" w:before="40" w:after="40"/>
            </w:pPr>
            <w:r>
              <w:rPr>
                <w:rFonts w:eastAsia="SimSun" w:ascii="Times New Roman" w:hAnsi="Times New Roman" w:cs="Times New Roman"/>
                <w:sz w:val="18"/>
              </w:rPr>
              <w:t>Mainstream schools, AED(LBS), student development teams</w:t>
            </w:r>
          </w:p>
        </w:tc>
      </w:tr>
      <w:tr>
        <w:tc>
          <w:tcPr>
            <w:tcW w:type="dxa" w:w="2256"/>
          </w:tcPr>
          <w:p>
            <w:pPr>
              <w:spacing w:line="240" w:lineRule="auto" w:before="40" w:after="40"/>
            </w:pPr>
            <w:r>
              <w:rPr>
                <w:rFonts w:eastAsia="SimSun" w:ascii="Times New Roman" w:hAnsi="Times New Roman" w:cs="Times New Roman"/>
                <w:sz w:val="18"/>
              </w:rPr>
              <w:t>Specialist centre</w:t>
            </w:r>
          </w:p>
        </w:tc>
        <w:tc>
          <w:tcPr>
            <w:tcW w:type="dxa" w:w="2256"/>
          </w:tcPr>
          <w:p>
            <w:pPr>
              <w:spacing w:line="240" w:lineRule="auto" w:before="40" w:after="40"/>
            </w:pPr>
            <w:r>
              <w:rPr>
                <w:rFonts w:eastAsia="SimSun" w:ascii="Times New Roman" w:hAnsi="Times New Roman" w:cs="Times New Roman"/>
                <w:sz w:val="18"/>
              </w:rPr>
              <w:t>County resource / guidance centre</w:t>
            </w:r>
          </w:p>
        </w:tc>
        <w:tc>
          <w:tcPr>
            <w:tcW w:type="dxa" w:w="2256"/>
          </w:tcPr>
          <w:p>
            <w:pPr>
              <w:spacing w:line="240" w:lineRule="auto" w:before="40" w:after="40"/>
            </w:pPr>
            <w:r>
              <w:rPr>
                <w:rFonts w:eastAsia="SimSun" w:ascii="Times New Roman" w:hAnsi="Times New Roman" w:cs="Times New Roman"/>
                <w:sz w:val="18"/>
              </w:rPr>
              <w:t>3PK, special education service centres</w:t>
            </w:r>
          </w:p>
        </w:tc>
        <w:tc>
          <w:tcPr>
            <w:tcW w:type="dxa" w:w="2258"/>
          </w:tcPr>
          <w:p>
            <w:pPr>
              <w:spacing w:line="240" w:lineRule="auto" w:before="40" w:after="40"/>
            </w:pPr>
            <w:r>
              <w:rPr>
                <w:rFonts w:eastAsia="SimSun" w:ascii="Times New Roman" w:hAnsi="Times New Roman" w:cs="Times New Roman"/>
                <w:sz w:val="18"/>
              </w:rPr>
              <w:t>SPED schools, MOE, psychological services</w:t>
            </w:r>
          </w:p>
        </w:tc>
      </w:tr>
      <w:tr>
        <w:tc>
          <w:tcPr>
            <w:tcW w:type="dxa" w:w="2256"/>
          </w:tcPr>
          <w:p>
            <w:pPr>
              <w:spacing w:line="240" w:lineRule="auto" w:before="40" w:after="40"/>
            </w:pPr>
            <w:r>
              <w:rPr>
                <w:rFonts w:eastAsia="SimSun" w:ascii="Times New Roman" w:hAnsi="Times New Roman" w:cs="Times New Roman"/>
                <w:sz w:val="18"/>
              </w:rPr>
              <w:t>Medical / rehabilitation</w:t>
            </w:r>
          </w:p>
        </w:tc>
        <w:tc>
          <w:tcPr>
            <w:tcW w:type="dxa" w:w="2256"/>
          </w:tcPr>
          <w:p>
            <w:pPr>
              <w:spacing w:line="240" w:lineRule="auto" w:before="40" w:after="40"/>
            </w:pPr>
            <w:r>
              <w:rPr>
                <w:rFonts w:eastAsia="SimSun" w:ascii="Times New Roman" w:hAnsi="Times New Roman" w:cs="Times New Roman"/>
                <w:sz w:val="18"/>
              </w:rPr>
              <w:t>Hospitals, therapists, health authorities</w:t>
            </w:r>
          </w:p>
        </w:tc>
        <w:tc>
          <w:tcPr>
            <w:tcW w:type="dxa" w:w="2256"/>
          </w:tcPr>
          <w:p>
            <w:pPr>
              <w:spacing w:line="240" w:lineRule="auto" w:before="40" w:after="40"/>
            </w:pPr>
            <w:r>
              <w:rPr>
                <w:rFonts w:eastAsia="SimSun" w:ascii="Times New Roman" w:hAnsi="Times New Roman" w:cs="Times New Roman"/>
                <w:sz w:val="18"/>
              </w:rPr>
              <w:t>Therapists, Ministry of Health services</w:t>
            </w:r>
          </w:p>
        </w:tc>
        <w:tc>
          <w:tcPr>
            <w:tcW w:type="dxa" w:w="2258"/>
          </w:tcPr>
          <w:p>
            <w:pPr>
              <w:spacing w:line="240" w:lineRule="auto" w:before="40" w:after="40"/>
            </w:pPr>
            <w:r>
              <w:rPr>
                <w:rFonts w:eastAsia="SimSun" w:ascii="Times New Roman" w:hAnsi="Times New Roman" w:cs="Times New Roman"/>
                <w:sz w:val="18"/>
              </w:rPr>
              <w:t>Medical and mental health services</w:t>
            </w:r>
          </w:p>
        </w:tc>
      </w:tr>
      <w:tr>
        <w:tc>
          <w:tcPr>
            <w:tcW w:type="dxa" w:w="2256"/>
          </w:tcPr>
          <w:p>
            <w:pPr>
              <w:spacing w:line="240" w:lineRule="auto" w:before="40" w:after="40"/>
            </w:pPr>
            <w:r>
              <w:rPr>
                <w:rFonts w:eastAsia="SimSun" w:ascii="Times New Roman" w:hAnsi="Times New Roman" w:cs="Times New Roman"/>
                <w:sz w:val="18"/>
              </w:rPr>
              <w:t>Family / community</w:t>
            </w:r>
          </w:p>
        </w:tc>
        <w:tc>
          <w:tcPr>
            <w:tcW w:type="dxa" w:w="2256"/>
          </w:tcPr>
          <w:p>
            <w:pPr>
              <w:spacing w:line="240" w:lineRule="auto" w:before="40" w:after="40"/>
            </w:pPr>
            <w:r>
              <w:rPr>
                <w:rFonts w:eastAsia="SimSun" w:ascii="Times New Roman" w:hAnsi="Times New Roman" w:cs="Times New Roman"/>
                <w:sz w:val="18"/>
              </w:rPr>
              <w:t>Disabled persons' federation, parents, community</w:t>
            </w:r>
          </w:p>
        </w:tc>
        <w:tc>
          <w:tcPr>
            <w:tcW w:type="dxa" w:w="2256"/>
          </w:tcPr>
          <w:p>
            <w:pPr>
              <w:spacing w:line="240" w:lineRule="auto" w:before="40" w:after="40"/>
            </w:pPr>
            <w:r>
              <w:rPr>
                <w:rFonts w:eastAsia="SimSun" w:ascii="Times New Roman" w:hAnsi="Times New Roman" w:cs="Times New Roman"/>
                <w:sz w:val="18"/>
              </w:rPr>
              <w:t>JKM, parents, NGOs</w:t>
            </w:r>
          </w:p>
        </w:tc>
        <w:tc>
          <w:tcPr>
            <w:tcW w:type="dxa" w:w="2258"/>
          </w:tcPr>
          <w:p>
            <w:pPr>
              <w:spacing w:line="240" w:lineRule="auto" w:before="40" w:after="40"/>
            </w:pPr>
            <w:r>
              <w:rPr>
                <w:rFonts w:eastAsia="SimSun" w:ascii="Times New Roman" w:hAnsi="Times New Roman" w:cs="Times New Roman"/>
                <w:sz w:val="18"/>
              </w:rPr>
              <w:t>Parents, VWOs / social service agencies, community</w:t>
            </w:r>
          </w:p>
        </w:tc>
      </w:tr>
      <w:tr>
        <w:tc>
          <w:tcPr>
            <w:tcW w:type="dxa" w:w="2256"/>
          </w:tcPr>
          <w:p>
            <w:pPr>
              <w:spacing w:line="240" w:lineRule="auto" w:before="40" w:after="40"/>
            </w:pPr>
            <w:r>
              <w:rPr>
                <w:rFonts w:eastAsia="SimSun" w:ascii="Times New Roman" w:hAnsi="Times New Roman" w:cs="Times New Roman"/>
                <w:sz w:val="18"/>
              </w:rPr>
              <w:t>Adult transition</w:t>
            </w:r>
          </w:p>
        </w:tc>
        <w:tc>
          <w:tcPr>
            <w:tcW w:type="dxa" w:w="2256"/>
          </w:tcPr>
          <w:p>
            <w:pPr>
              <w:spacing w:line="240" w:lineRule="auto" w:before="40" w:after="40"/>
            </w:pPr>
            <w:r>
              <w:rPr>
                <w:rFonts w:eastAsia="SimSun" w:ascii="Times New Roman" w:hAnsi="Times New Roman" w:cs="Times New Roman"/>
                <w:sz w:val="18"/>
              </w:rPr>
              <w:t>Weak linkage with the federation and vocational sectors</w:t>
            </w:r>
          </w:p>
        </w:tc>
        <w:tc>
          <w:tcPr>
            <w:tcW w:type="dxa" w:w="2256"/>
          </w:tcPr>
          <w:p>
            <w:pPr>
              <w:spacing w:line="240" w:lineRule="auto" w:before="40" w:after="40"/>
            </w:pPr>
            <w:r>
              <w:rPr>
                <w:rFonts w:eastAsia="SimSun" w:ascii="Times New Roman" w:hAnsi="Times New Roman" w:cs="Times New Roman"/>
                <w:sz w:val="18"/>
              </w:rPr>
              <w:t>Yet to be strengthened</w:t>
            </w:r>
          </w:p>
        </w:tc>
        <w:tc>
          <w:tcPr>
            <w:tcW w:type="dxa" w:w="2258"/>
          </w:tcPr>
          <w:p>
            <w:pPr>
              <w:spacing w:line="240" w:lineRule="auto" w:before="40" w:after="40"/>
            </w:pPr>
            <w:r>
              <w:rPr>
                <w:rFonts w:eastAsia="SimSun" w:ascii="Times New Roman" w:hAnsi="Times New Roman" w:cs="Times New Roman"/>
                <w:sz w:val="18"/>
              </w:rPr>
              <w:t>SG Enable; employment and higher education support well developed</w:t>
            </w:r>
          </w:p>
        </w:tc>
      </w:tr>
      <w:tr>
        <w:tc>
          <w:tcPr>
            <w:tcW w:type="dxa" w:w="2256"/>
          </w:tcPr>
          <w:p>
            <w:pPr>
              <w:spacing w:line="240" w:lineRule="auto" w:before="40" w:after="40"/>
            </w:pPr>
            <w:r>
              <w:rPr>
                <w:rFonts w:eastAsia="SimSun" w:ascii="Times New Roman" w:hAnsi="Times New Roman" w:cs="Times New Roman"/>
                <w:sz w:val="18"/>
              </w:rPr>
              <w:t>Principal risk</w:t>
            </w:r>
          </w:p>
        </w:tc>
        <w:tc>
          <w:tcPr>
            <w:tcW w:type="dxa" w:w="2256"/>
          </w:tcPr>
          <w:p>
            <w:pPr>
              <w:spacing w:line="240" w:lineRule="auto" w:before="40" w:after="40"/>
            </w:pPr>
            <w:r>
              <w:rPr>
                <w:rFonts w:eastAsia="SimSun" w:ascii="Times New Roman" w:hAnsi="Times New Roman" w:cs="Times New Roman"/>
                <w:sz w:val="18"/>
              </w:rPr>
              <w:t>Collaboration degenerates into data collection</w:t>
            </w:r>
          </w:p>
        </w:tc>
        <w:tc>
          <w:tcPr>
            <w:tcW w:type="dxa" w:w="2256"/>
          </w:tcPr>
          <w:p>
            <w:pPr>
              <w:spacing w:line="240" w:lineRule="auto" w:before="40" w:after="40"/>
            </w:pPr>
            <w:r>
              <w:rPr>
                <w:rFonts w:eastAsia="SimSun" w:ascii="Times New Roman" w:hAnsi="Times New Roman" w:cs="Times New Roman"/>
                <w:sz w:val="18"/>
              </w:rPr>
              <w:t>Unstable specialist supply in rural areas / East Malaysia</w:t>
            </w:r>
          </w:p>
        </w:tc>
        <w:tc>
          <w:tcPr>
            <w:tcW w:type="dxa" w:w="2258"/>
          </w:tcPr>
          <w:p>
            <w:pPr>
              <w:spacing w:line="240" w:lineRule="auto" w:before="40" w:after="40"/>
            </w:pPr>
            <w:r>
              <w:rPr>
                <w:rFonts w:eastAsia="SimSun" w:ascii="Times New Roman" w:hAnsi="Times New Roman" w:cs="Times New Roman"/>
                <w:sz w:val="18"/>
              </w:rPr>
              <w:t>Ambiguous role boundaries; referral response delays</w:t>
            </w:r>
          </w:p>
        </w:tc>
      </w:tr>
    </w:tbl>
    <w:p>
      <w:pPr>
        <w:spacing w:line="240" w:lineRule="auto"/>
      </w:pPr>
      <w:r>
        <w:rPr>
          <w:sz w:val="12"/>
        </w:rPr>
      </w:r>
    </w:p>
    <w:p>
      <w:pPr>
        <w:pStyle w:val="Heading2"/>
      </w:pPr>
      <w:r>
        <w:rPr>
          <w:rFonts w:ascii="Times New Roman" w:hAnsi="Times New Roman" w:eastAsia="SimSun"/>
        </w:rPr>
        <w:t>8.5 Comparing the Intermediary Role in Policy "Transmission"</w:t>
      </w:r>
    </w:p>
    <w:p>
      <w:pPr>
        <w:spacing w:line="480" w:lineRule="auto" w:before="0" w:after="0"/>
        <w:ind w:firstLine="720"/>
      </w:pPr>
      <w:r>
        <w:rPr>
          <w:rFonts w:ascii="Times New Roman" w:hAnsi="Times New Roman" w:eastAsia="SimSun"/>
          <w:b w:val="0"/>
          <w:i w:val="0"/>
          <w:sz w:val="24"/>
        </w:rPr>
        <w:t xml:space="preserve">In all three systems, itinerant/mobile support personnel act as "policy translators," but the direction of translation differs. Chinese itinerant teachers translate </w:t>
      </w:r>
      <w:r>
        <w:rPr>
          <w:rFonts w:ascii="Times New Roman" w:hAnsi="Times New Roman" w:eastAsia="SimSun"/>
          <w:b/>
          <w:i w:val="0"/>
          <w:sz w:val="24"/>
        </w:rPr>
        <w:t>higher-level supervisory requirements</w:t>
      </w:r>
      <w:r>
        <w:rPr>
          <w:rFonts w:ascii="Times New Roman" w:hAnsi="Times New Roman" w:eastAsia="SimSun"/>
          <w:b w:val="0"/>
          <w:i w:val="0"/>
          <w:sz w:val="24"/>
        </w:rPr>
        <w:t xml:space="preserve"> into classroom strategies and records that schools can execute. Malaysian Guru Pendidikan Khas and 3PK translate </w:t>
      </w:r>
      <w:r>
        <w:rPr>
          <w:rFonts w:ascii="Times New Roman" w:hAnsi="Times New Roman" w:eastAsia="SimSun"/>
          <w:b/>
          <w:i w:val="0"/>
          <w:sz w:val="24"/>
        </w:rPr>
        <w:t>inclusion policy</w:t>
      </w:r>
      <w:r>
        <w:rPr>
          <w:rFonts w:ascii="Times New Roman" w:hAnsi="Times New Roman" w:eastAsia="SimSun"/>
          <w:b w:val="0"/>
          <w:i w:val="0"/>
          <w:sz w:val="24"/>
        </w:rPr>
        <w:t xml:space="preserve"> into in-school placement and differentiated teaching arrangements. Singapore's AED(LBS) and SEN officers translate </w:t>
      </w:r>
      <w:r>
        <w:rPr>
          <w:rFonts w:ascii="Times New Roman" w:hAnsi="Times New Roman" w:eastAsia="SimSun"/>
          <w:b/>
          <w:i w:val="0"/>
          <w:sz w:val="24"/>
        </w:rPr>
        <w:t>student needs</w:t>
      </w:r>
      <w:r>
        <w:rPr>
          <w:rFonts w:ascii="Times New Roman" w:hAnsi="Times New Roman" w:eastAsia="SimSun"/>
          <w:b w:val="0"/>
          <w:i w:val="0"/>
          <w:sz w:val="24"/>
        </w:rPr>
        <w:t xml:space="preserve"> into school resource allocation and referral recommendations. In the first two, policy flow is predominantly top-down; in the last, it is closer to bottom-up and case-driven (D).</w:t>
      </w:r>
    </w:p>
    <w:p>
      <w:pPr>
        <w:spacing w:line="360" w:lineRule="auto" w:before="0" w:after="120"/>
      </w:pPr>
      <w:r>
        <w:rPr>
          <w:rFonts w:ascii="Times New Roman" w:hAnsi="Times New Roman" w:eastAsia="SimSun"/>
          <w:b w:val="0"/>
          <w:i/>
          <w:sz w:val="21"/>
        </w:rPr>
        <w:t>Evidence strength note: collaborating actors are A/C for all three; the proposed closed-loop process and the judgement on transmission direction are D.</w:t>
      </w:r>
    </w:p>
    <w:p>
      <w:pPr>
        <w:pStyle w:val="Heading1"/>
      </w:pPr>
      <w:r>
        <w:rPr>
          <w:rFonts w:ascii="Times New Roman" w:hAnsi="Times New Roman" w:eastAsia="SimSun"/>
        </w:rPr>
        <w:t>9. Implementation Difficulties, Causes, and Responses</w:t>
      </w:r>
    </w:p>
    <w:p>
      <w:pPr>
        <w:pStyle w:val="Heading2"/>
      </w:pPr>
      <w:r>
        <w:rPr>
          <w:rFonts w:ascii="Times New Roman" w:hAnsi="Times New Roman" w:eastAsia="SimSun"/>
        </w:rPr>
        <w:t>9.1 China: Service Radius Expanding Faster Than Specialist Supply</w:t>
      </w:r>
    </w:p>
    <w:p>
      <w:pPr>
        <w:spacing w:line="480" w:lineRule="auto" w:before="0" w:after="0"/>
        <w:ind w:firstLine="720"/>
      </w:pPr>
      <w:r>
        <w:rPr>
          <w:rFonts w:ascii="Times New Roman" w:hAnsi="Times New Roman" w:eastAsia="SimSun"/>
          <w:b w:val="0"/>
          <w:i w:val="0"/>
          <w:sz w:val="24"/>
        </w:rPr>
        <w:t>A ministry reply indicates that in 2020 the number of students with disabilities learning in regular classrooms in mainstream schools had risen by 200,000, or 83.6%, compared with 2015 (MOE China, 2022b), implying rapidly expanding demand for itinerant service. Meanwhile, students enrolled in special education reached 915,900 in 2024, with wide variation in school numbers, geographic distance, and student need. Schools in central and western rural areas are dispersed, so travel time compresses direct service; if itinerant teachers simultaneously carry special school teaching, resource-centre administration, and teacher training, individual workloads easily become unmanageable.</w:t>
      </w:r>
    </w:p>
    <w:p>
      <w:pPr>
        <w:spacing w:line="240" w:lineRule="auto"/>
        <w:jc w:val="center"/>
      </w:pPr>
      <w:r>
        <w:drawing>
          <wp:inline xmlns:a="http://schemas.openxmlformats.org/drawingml/2006/main" xmlns:pic="http://schemas.openxmlformats.org/drawingml/2006/picture">
            <wp:extent cx="4937760" cy="2411891"/>
            <wp:docPr id="2" name="fig_2_china_scale_en.png" title="fig_2_china_scale_en.png" descr="fig_2_china_scale_en.png"/>
            <wp:cNvGraphicFramePr>
              <a:graphicFrameLocks noChangeAspect="1"/>
            </wp:cNvGraphicFramePr>
            <a:graphic>
              <a:graphicData uri="http://schemas.openxmlformats.org/drawingml/2006/picture">
                <pic:pic>
                  <pic:nvPicPr>
                    <pic:cNvPr id="0" name="fig_2_china_scale_en.png"/>
                    <pic:cNvPicPr/>
                  </pic:nvPicPr>
                  <pic:blipFill>
                    <a:blip r:embed="rId10"/>
                    <a:stretch>
                      <a:fillRect/>
                    </a:stretch>
                  </pic:blipFill>
                  <pic:spPr>
                    <a:xfrm>
                      <a:off x="0" y="0"/>
                      <a:ext cx="4937760" cy="2411891"/>
                    </a:xfrm>
                    <a:prstGeom prst="rect"/>
                  </pic:spPr>
                </pic:pic>
              </a:graphicData>
            </a:graphic>
          </wp:inline>
        </w:drawing>
      </w:r>
    </w:p>
    <w:p>
      <w:pPr>
        <w:spacing w:line="360" w:lineRule="auto" w:before="0" w:after="240"/>
      </w:pPr>
      <w:r>
        <w:rPr>
          <w:rFonts w:ascii="Times New Roman" w:hAnsi="Times New Roman" w:eastAsia="SimSun"/>
          <w:b w:val="0"/>
          <w:i/>
          <w:sz w:val="21"/>
        </w:rPr>
        <w:t>Figure 2. The scale of special education enrolment in China and its relation to itinerant support demand. Back-calculating from "an increase of 200,000, or 83.6%, over 2015" gives approximately 439,000 students with disabilities learning in regular classrooms in 2020; total enrolment across all forms of special education was 915,900 in 2024. Data sources: MOE China reply to a CPPCC proposal (2022b); MOE China 2024 national education statistics bulletin (MOE China, 2025).</w:t>
      </w:r>
    </w:p>
    <w:p>
      <w:pPr>
        <w:spacing w:line="480" w:lineRule="auto" w:before="0" w:after="0"/>
        <w:ind w:firstLine="720"/>
      </w:pPr>
      <w:r>
        <w:rPr>
          <w:rFonts w:ascii="Times New Roman" w:hAnsi="Times New Roman" w:eastAsia="SimSun"/>
          <w:b/>
          <w:i w:val="0"/>
          <w:sz w:val="24"/>
        </w:rPr>
        <w:t>Figure 2 must not be read as "an 83.6% shortage of itinerant teachers."</w:t>
      </w:r>
      <w:r>
        <w:rPr>
          <w:rFonts w:ascii="Times New Roman" w:hAnsi="Times New Roman" w:eastAsia="SimSun"/>
          <w:b w:val="0"/>
          <w:i w:val="0"/>
          <w:sz w:val="24"/>
        </w:rPr>
        <w:t xml:space="preserve"> It shows only that growing demand and the expansion of the itinerant model coexist. Changsha's use of workload coefficients to quantify regular-class and itinerant work (Changsha Education Bureau, 2023) is the most concrete incentive scheme among publicly available materials, but it lacks cost–benefit data, so it is impossible to judge whether it suffices to stabilise the workforce.</w:t>
      </w:r>
    </w:p>
    <w:p>
      <w:pPr>
        <w:pStyle w:val="Heading2"/>
      </w:pPr>
      <w:r>
        <w:rPr>
          <w:rFonts w:ascii="Times New Roman" w:hAnsi="Times New Roman" w:eastAsia="SimSun"/>
        </w:rPr>
        <w:t>9.2 Malaysia: Geography and Linguistic Diversity Make a Uniform Staffing Model Unworkable</w:t>
      </w:r>
    </w:p>
    <w:p>
      <w:pPr>
        <w:spacing w:line="480" w:lineRule="auto" w:before="0" w:after="0"/>
        <w:ind w:firstLine="720"/>
      </w:pPr>
      <w:r>
        <w:rPr>
          <w:rFonts w:ascii="Times New Roman" w:hAnsi="Times New Roman" w:eastAsia="SimSun"/>
          <w:b w:val="0"/>
          <w:i w:val="0"/>
          <w:sz w:val="24"/>
        </w:rPr>
        <w:t>Transport, connectivity, accommodation, and access to professional services in the islands and inland areas of East Malaysia all differ from those in Peninsular cities. Where PPKI classes are limited in number, students in remote areas may be forced into long commutes; if Program Inklusif lacks Guru Pendidikan Khas time, in-school training, and teaching resources, it may amount merely to "placing" students in regular classes. The existence of multiple language streams means training materials, assessment tools, and parent communication must be language-adapted—a problem that must be solved before any uniform itinerant model can work (D).</w:t>
      </w:r>
    </w:p>
    <w:p>
      <w:pPr>
        <w:pStyle w:val="Heading2"/>
      </w:pPr>
      <w:r>
        <w:rPr>
          <w:rFonts w:ascii="Times New Roman" w:hAnsi="Times New Roman" w:eastAsia="SimSun"/>
        </w:rPr>
        <w:t>9.3 Singapore: Distance Yielding to Response Time and Role Boundaries</w:t>
      </w:r>
    </w:p>
    <w:p>
      <w:pPr>
        <w:spacing w:line="480" w:lineRule="auto" w:before="0" w:after="0"/>
        <w:ind w:firstLine="720"/>
      </w:pPr>
      <w:r>
        <w:rPr>
          <w:rFonts w:ascii="Times New Roman" w:hAnsi="Times New Roman" w:eastAsia="SimSun"/>
          <w:b w:val="0"/>
          <w:i w:val="0"/>
          <w:sz w:val="24"/>
        </w:rPr>
        <w:t xml:space="preserve">Singapore appears to lack the geographic obstacles of China or East Malaysia, yet it faces high density, complex referrals, and role-boundary problems. Its "distance" shifts from cross-school travel to </w:t>
      </w:r>
      <w:r>
        <w:rPr>
          <w:rFonts w:ascii="Times New Roman" w:hAnsi="Times New Roman" w:eastAsia="SimSun"/>
          <w:b/>
          <w:i w:val="0"/>
          <w:sz w:val="24"/>
        </w:rPr>
        <w:t>cross-agency response time</w:t>
      </w:r>
      <w:r>
        <w:rPr>
          <w:rFonts w:ascii="Times New Roman" w:hAnsi="Times New Roman" w:eastAsia="SimSun"/>
          <w:b w:val="0"/>
          <w:i w:val="0"/>
          <w:sz w:val="24"/>
        </w:rPr>
        <w:t>. AED(LBS) serve students while also training teachers and parents; without clear upper limits, the post easily becomes a "school-wide catch-all." Accountability pressure in a high-performing system may also compress student support into quantifiable indicators. Available materials do not directly establish AED(LBS) attrition or workload, so no claim of teacher shortage can be made.</w:t>
      </w:r>
    </w:p>
    <w:p>
      <w:pPr>
        <w:pStyle w:val="Heading2"/>
      </w:pPr>
      <w:r>
        <w:rPr>
          <w:rFonts w:ascii="Times New Roman" w:hAnsi="Times New Roman" w:eastAsia="SimSun"/>
        </w:rPr>
        <w:t>9.4 Comparative Table of Common Difficulties and Differentiated Responses</w:t>
      </w:r>
    </w:p>
    <w:tbl>
      <w:tblPr>
        <w:tblW w:type="dxa" w:w="9026"/>
        <w:jc w:val="left"/>
        <w:tblBorders>
          <w:top w:val="single" w:sz="4" w:color="CCCCCC"/>
          <w:left w:val="single" w:sz="4" w:color="CCCCCC"/>
          <w:bottom w:val="single" w:sz="4" w:color="CCCCCC"/>
          <w:right w:val="single" w:sz="4" w:color="CCCCCC"/>
          <w:insideH w:val="single" w:sz="4" w:color="CCCCCC"/>
          <w:insideV w:val="single" w:sz="4" w:color="CCCCCC"/>
        </w:tblBorders>
        <w:tblLayout w:type="fixed"/>
        <w:tblLook w:firstColumn="1" w:firstRow="1" w:lastColumn="0" w:lastRow="0" w:noHBand="0" w:noVBand="1" w:val="04A0"/>
      </w:tblPr>
      <w:tblGrid>
        <w:gridCol w:w="2256"/>
        <w:gridCol w:w="2256"/>
        <w:gridCol w:w="2256"/>
        <w:gridCol w:w="2258"/>
      </w:tblGrid>
      <w:tr>
        <w:tc>
          <w:tcPr>
            <w:tcW w:type="dxa" w:w="2256"/>
            <w:shd w:val="clear" w:color="auto" w:fill="D9D9D9"/>
          </w:tcPr>
          <w:p>
            <w:pPr>
              <w:spacing w:line="240" w:lineRule="auto" w:before="40" w:after="40"/>
            </w:pPr>
            <w:r>
              <w:rPr>
                <w:rFonts w:eastAsia="SimSun" w:ascii="Times New Roman" w:hAnsi="Times New Roman" w:cs="Times New Roman"/>
                <w:b/>
                <w:bCs/>
                <w:sz w:val="18"/>
              </w:rPr>
              <w:t>Difficulty type</w:t>
            </w:r>
          </w:p>
        </w:tc>
        <w:tc>
          <w:tcPr>
            <w:tcW w:type="dxa" w:w="2256"/>
            <w:shd w:val="clear" w:color="auto" w:fill="D9D9D9"/>
          </w:tcPr>
          <w:p>
            <w:pPr>
              <w:spacing w:line="240" w:lineRule="auto" w:before="40" w:after="40"/>
            </w:pPr>
            <w:r>
              <w:rPr>
                <w:rFonts w:eastAsia="SimSun" w:ascii="Times New Roman" w:hAnsi="Times New Roman" w:cs="Times New Roman"/>
                <w:b/>
                <w:bCs/>
                <w:sz w:val="18"/>
              </w:rPr>
              <w:t>China</w:t>
            </w:r>
          </w:p>
        </w:tc>
        <w:tc>
          <w:tcPr>
            <w:tcW w:type="dxa" w:w="2256"/>
            <w:shd w:val="clear" w:color="auto" w:fill="D9D9D9"/>
          </w:tcPr>
          <w:p>
            <w:pPr>
              <w:spacing w:line="240" w:lineRule="auto" w:before="40" w:after="40"/>
            </w:pPr>
            <w:r>
              <w:rPr>
                <w:rFonts w:eastAsia="SimSun" w:ascii="Times New Roman" w:hAnsi="Times New Roman" w:cs="Times New Roman"/>
                <w:b/>
                <w:bCs/>
                <w:sz w:val="18"/>
              </w:rPr>
              <w:t>Malaysia</w:t>
            </w:r>
          </w:p>
        </w:tc>
        <w:tc>
          <w:tcPr>
            <w:tcW w:type="dxa" w:w="2258"/>
            <w:shd w:val="clear" w:color="auto" w:fill="D9D9D9"/>
          </w:tcPr>
          <w:p>
            <w:pPr>
              <w:spacing w:line="240" w:lineRule="auto" w:before="40" w:after="40"/>
            </w:pPr>
            <w:r>
              <w:rPr>
                <w:rFonts w:eastAsia="SimSun" w:ascii="Times New Roman" w:hAnsi="Times New Roman" w:cs="Times New Roman"/>
                <w:b/>
                <w:bCs/>
                <w:sz w:val="18"/>
              </w:rPr>
              <w:t>Singapore</w:t>
            </w:r>
          </w:p>
        </w:tc>
      </w:tr>
      <w:tr>
        <w:tc>
          <w:tcPr>
            <w:tcW w:type="dxa" w:w="2256"/>
          </w:tcPr>
          <w:p>
            <w:pPr>
              <w:spacing w:line="240" w:lineRule="auto" w:before="40" w:after="40"/>
            </w:pPr>
            <w:r>
              <w:rPr>
                <w:rFonts w:eastAsia="SimSun" w:ascii="Times New Roman" w:hAnsi="Times New Roman" w:cs="Times New Roman"/>
                <w:sz w:val="18"/>
              </w:rPr>
              <w:t>Geography and distance</w:t>
            </w:r>
          </w:p>
        </w:tc>
        <w:tc>
          <w:tcPr>
            <w:tcW w:type="dxa" w:w="2256"/>
          </w:tcPr>
          <w:p>
            <w:pPr>
              <w:spacing w:line="240" w:lineRule="auto" w:before="40" w:after="40"/>
            </w:pPr>
            <w:r>
              <w:rPr>
                <w:rFonts w:eastAsia="SimSun" w:ascii="Times New Roman" w:hAnsi="Times New Roman" w:cs="Times New Roman"/>
                <w:sz w:val="18"/>
              </w:rPr>
              <w:t>High commuting costs in central/western rural and mountainous areas</w:t>
            </w:r>
          </w:p>
        </w:tc>
        <w:tc>
          <w:tcPr>
            <w:tcW w:type="dxa" w:w="2256"/>
          </w:tcPr>
          <w:p>
            <w:pPr>
              <w:spacing w:line="240" w:lineRule="auto" w:before="40" w:after="40"/>
            </w:pPr>
            <w:r>
              <w:rPr>
                <w:rFonts w:eastAsia="SimSun" w:ascii="Times New Roman" w:hAnsi="Times New Roman" w:cs="Times New Roman"/>
                <w:sz w:val="18"/>
              </w:rPr>
              <w:t>East Malaysia and inland areas; transport/connectivity constraints</w:t>
            </w:r>
          </w:p>
        </w:tc>
        <w:tc>
          <w:tcPr>
            <w:tcW w:type="dxa" w:w="2258"/>
          </w:tcPr>
          <w:p>
            <w:pPr>
              <w:spacing w:line="240" w:lineRule="auto" w:before="40" w:after="40"/>
            </w:pPr>
            <w:r>
              <w:rPr>
                <w:rFonts w:eastAsia="SimSun" w:ascii="Times New Roman" w:hAnsi="Times New Roman" w:cs="Times New Roman"/>
                <w:sz w:val="18"/>
              </w:rPr>
              <w:t>Not significant</w:t>
            </w:r>
          </w:p>
        </w:tc>
      </w:tr>
      <w:tr>
        <w:tc>
          <w:tcPr>
            <w:tcW w:type="dxa" w:w="2256"/>
          </w:tcPr>
          <w:p>
            <w:pPr>
              <w:spacing w:line="240" w:lineRule="auto" w:before="40" w:after="40"/>
            </w:pPr>
            <w:r>
              <w:rPr>
                <w:rFonts w:eastAsia="SimSun" w:ascii="Times New Roman" w:hAnsi="Times New Roman" w:cs="Times New Roman"/>
                <w:sz w:val="18"/>
              </w:rPr>
              <w:t>Personnel supply</w:t>
            </w:r>
          </w:p>
        </w:tc>
        <w:tc>
          <w:tcPr>
            <w:tcW w:type="dxa" w:w="2256"/>
          </w:tcPr>
          <w:p>
            <w:pPr>
              <w:spacing w:line="240" w:lineRule="auto" w:before="40" w:after="40"/>
            </w:pPr>
            <w:r>
              <w:rPr>
                <w:rFonts w:eastAsia="SimSun" w:ascii="Times New Roman" w:hAnsi="Times New Roman" w:cs="Times New Roman"/>
                <w:sz w:val="18"/>
              </w:rPr>
              <w:t>Demand growing faster than establishment; casualisation</w:t>
            </w:r>
          </w:p>
        </w:tc>
        <w:tc>
          <w:tcPr>
            <w:tcW w:type="dxa" w:w="2256"/>
          </w:tcPr>
          <w:p>
            <w:pPr>
              <w:spacing w:line="240" w:lineRule="auto" w:before="40" w:after="40"/>
            </w:pPr>
            <w:r>
              <w:rPr>
                <w:rFonts w:eastAsia="SimSun" w:ascii="Times New Roman" w:hAnsi="Times New Roman" w:cs="Times New Roman"/>
                <w:sz w:val="18"/>
              </w:rPr>
              <w:t>Insufficient and unevenly distributed qualified teachers and therapists</w:t>
            </w:r>
          </w:p>
        </w:tc>
        <w:tc>
          <w:tcPr>
            <w:tcW w:type="dxa" w:w="2258"/>
          </w:tcPr>
          <w:p>
            <w:pPr>
              <w:spacing w:line="240" w:lineRule="auto" w:before="40" w:after="40"/>
            </w:pPr>
            <w:r>
              <w:rPr>
                <w:rFonts w:eastAsia="SimSun" w:ascii="Times New Roman" w:hAnsi="Times New Roman" w:cs="Times New Roman"/>
                <w:sz w:val="18"/>
              </w:rPr>
              <w:t>No public evidence of shortage; workload awaits study</w:t>
            </w:r>
          </w:p>
        </w:tc>
      </w:tr>
      <w:tr>
        <w:tc>
          <w:tcPr>
            <w:tcW w:type="dxa" w:w="2256"/>
          </w:tcPr>
          <w:p>
            <w:pPr>
              <w:spacing w:line="240" w:lineRule="auto" w:before="40" w:after="40"/>
            </w:pPr>
            <w:r>
              <w:rPr>
                <w:rFonts w:eastAsia="SimSun" w:ascii="Times New Roman" w:hAnsi="Times New Roman" w:cs="Times New Roman"/>
                <w:sz w:val="18"/>
              </w:rPr>
              <w:t>Language and culture</w:t>
            </w:r>
          </w:p>
        </w:tc>
        <w:tc>
          <w:tcPr>
            <w:tcW w:type="dxa" w:w="2256"/>
          </w:tcPr>
          <w:p>
            <w:pPr>
              <w:spacing w:line="240" w:lineRule="auto" w:before="40" w:after="40"/>
            </w:pPr>
            <w:r>
              <w:rPr>
                <w:rFonts w:eastAsia="SimSun" w:ascii="Times New Roman" w:hAnsi="Times New Roman" w:cs="Times New Roman"/>
                <w:sz w:val="18"/>
              </w:rPr>
              <w:t>Ethnic minority areas; dialect communication</w:t>
            </w:r>
          </w:p>
        </w:tc>
        <w:tc>
          <w:tcPr>
            <w:tcW w:type="dxa" w:w="2256"/>
          </w:tcPr>
          <w:p>
            <w:pPr>
              <w:spacing w:line="240" w:lineRule="auto" w:before="40" w:after="40"/>
            </w:pPr>
            <w:r>
              <w:rPr>
                <w:rFonts w:eastAsia="SimSun" w:ascii="Times New Roman" w:hAnsi="Times New Roman" w:cs="Times New Roman"/>
                <w:sz w:val="18"/>
              </w:rPr>
              <w:t>Multiple school streams; multilingual parent communication</w:t>
            </w:r>
          </w:p>
        </w:tc>
        <w:tc>
          <w:tcPr>
            <w:tcW w:type="dxa" w:w="2258"/>
          </w:tcPr>
          <w:p>
            <w:pPr>
              <w:spacing w:line="240" w:lineRule="auto" w:before="40" w:after="40"/>
            </w:pPr>
            <w:r>
              <w:rPr>
                <w:rFonts w:eastAsia="SimSun" w:ascii="Times New Roman" w:hAnsi="Times New Roman" w:cs="Times New Roman"/>
                <w:sz w:val="18"/>
              </w:rPr>
              <w:t>Multi-ethnic and multilingual, but more institutionalised</w:t>
            </w:r>
          </w:p>
        </w:tc>
      </w:tr>
      <w:tr>
        <w:tc>
          <w:tcPr>
            <w:tcW w:type="dxa" w:w="2256"/>
          </w:tcPr>
          <w:p>
            <w:pPr>
              <w:spacing w:line="240" w:lineRule="auto" w:before="40" w:after="40"/>
            </w:pPr>
            <w:r>
              <w:rPr>
                <w:rFonts w:eastAsia="SimSun" w:ascii="Times New Roman" w:hAnsi="Times New Roman" w:cs="Times New Roman"/>
                <w:sz w:val="18"/>
              </w:rPr>
              <w:t>Data systems</w:t>
            </w:r>
          </w:p>
        </w:tc>
        <w:tc>
          <w:tcPr>
            <w:tcW w:type="dxa" w:w="2256"/>
          </w:tcPr>
          <w:p>
            <w:pPr>
              <w:spacing w:line="240" w:lineRule="auto" w:before="40" w:after="40"/>
            </w:pPr>
            <w:r>
              <w:rPr>
                <w:rFonts w:eastAsia="SimSun" w:ascii="Times New Roman" w:hAnsi="Times New Roman" w:cs="Times New Roman"/>
                <w:sz w:val="18"/>
              </w:rPr>
              <w:t>Separate records for student status, federation, medical, and IEP</w:t>
            </w:r>
          </w:p>
        </w:tc>
        <w:tc>
          <w:tcPr>
            <w:tcW w:type="dxa" w:w="2256"/>
          </w:tcPr>
          <w:p>
            <w:pPr>
              <w:spacing w:line="240" w:lineRule="auto" w:before="40" w:after="40"/>
            </w:pPr>
            <w:r>
              <w:rPr>
                <w:rFonts w:eastAsia="SimSun" w:ascii="Times New Roman" w:hAnsi="Times New Roman" w:cs="Times New Roman"/>
                <w:sz w:val="18"/>
              </w:rPr>
              <w:t>Fragmentation across 3PK, schools, JKM, and health agencies</w:t>
            </w:r>
          </w:p>
        </w:tc>
        <w:tc>
          <w:tcPr>
            <w:tcW w:type="dxa" w:w="2258"/>
          </w:tcPr>
          <w:p>
            <w:pPr>
              <w:spacing w:line="240" w:lineRule="auto" w:before="40" w:after="40"/>
            </w:pPr>
            <w:r>
              <w:rPr>
                <w:rFonts w:eastAsia="SimSun" w:ascii="Times New Roman" w:hAnsi="Times New Roman" w:cs="Times New Roman"/>
                <w:sz w:val="18"/>
              </w:rPr>
              <w:t>Permission boundaries across MOE, mental health, and SG Enable</w:t>
            </w:r>
          </w:p>
        </w:tc>
      </w:tr>
      <w:tr>
        <w:tc>
          <w:tcPr>
            <w:tcW w:type="dxa" w:w="2256"/>
          </w:tcPr>
          <w:p>
            <w:pPr>
              <w:spacing w:line="240" w:lineRule="auto" w:before="40" w:after="40"/>
            </w:pPr>
            <w:r>
              <w:rPr>
                <w:rFonts w:eastAsia="SimSun" w:ascii="Times New Roman" w:hAnsi="Times New Roman" w:cs="Times New Roman"/>
                <w:sz w:val="18"/>
              </w:rPr>
              <w:t>Funding and establishment</w:t>
            </w:r>
          </w:p>
        </w:tc>
        <w:tc>
          <w:tcPr>
            <w:tcW w:type="dxa" w:w="2256"/>
          </w:tcPr>
          <w:p>
            <w:pPr>
              <w:spacing w:line="240" w:lineRule="auto" w:before="40" w:after="40"/>
            </w:pPr>
            <w:r>
              <w:rPr>
                <w:rFonts w:eastAsia="SimSun" w:ascii="Times New Roman" w:hAnsi="Times New Roman" w:cs="Times New Roman"/>
                <w:sz w:val="18"/>
              </w:rPr>
              <w:t>Large variation in local finance</w:t>
            </w:r>
          </w:p>
        </w:tc>
        <w:tc>
          <w:tcPr>
            <w:tcW w:type="dxa" w:w="2256"/>
          </w:tcPr>
          <w:p>
            <w:pPr>
              <w:spacing w:line="240" w:lineRule="auto" w:before="40" w:after="40"/>
            </w:pPr>
            <w:r>
              <w:rPr>
                <w:rFonts w:eastAsia="SimSun" w:ascii="Times New Roman" w:hAnsi="Times New Roman" w:cs="Times New Roman"/>
                <w:sz w:val="18"/>
              </w:rPr>
              <w:t>Uneven federal–state allocation</w:t>
            </w:r>
          </w:p>
        </w:tc>
        <w:tc>
          <w:tcPr>
            <w:tcW w:type="dxa" w:w="2258"/>
          </w:tcPr>
          <w:p>
            <w:pPr>
              <w:spacing w:line="240" w:lineRule="auto" w:before="40" w:after="40"/>
            </w:pPr>
            <w:r>
              <w:rPr>
                <w:rFonts w:eastAsia="SimSun" w:ascii="Times New Roman" w:hAnsi="Times New Roman" w:cs="Times New Roman"/>
                <w:sz w:val="18"/>
              </w:rPr>
              <w:t>Funding coefficients clear; post ceilings to be defined</w:t>
            </w:r>
          </w:p>
        </w:tc>
      </w:tr>
      <w:tr>
        <w:tc>
          <w:tcPr>
            <w:tcW w:type="dxa" w:w="2256"/>
          </w:tcPr>
          <w:p>
            <w:pPr>
              <w:spacing w:line="240" w:lineRule="auto" w:before="40" w:after="40"/>
            </w:pPr>
            <w:r>
              <w:rPr>
                <w:rFonts w:eastAsia="SimSun" w:ascii="Times New Roman" w:hAnsi="Times New Roman" w:cs="Times New Roman"/>
                <w:sz w:val="18"/>
              </w:rPr>
              <w:t>Emergencies</w:t>
            </w:r>
          </w:p>
        </w:tc>
        <w:tc>
          <w:tcPr>
            <w:tcW w:type="dxa" w:w="2256"/>
          </w:tcPr>
          <w:p>
            <w:pPr>
              <w:spacing w:line="240" w:lineRule="auto" w:before="40" w:after="40"/>
            </w:pPr>
            <w:r>
              <w:rPr>
                <w:rFonts w:eastAsia="SimSun" w:ascii="Times New Roman" w:hAnsi="Times New Roman" w:cs="Times New Roman"/>
                <w:sz w:val="18"/>
              </w:rPr>
              <w:t>On-site service interrupted during the pandemic; shifted to cloud-based instruction</w:t>
            </w:r>
          </w:p>
        </w:tc>
        <w:tc>
          <w:tcPr>
            <w:tcW w:type="dxa" w:w="2256"/>
          </w:tcPr>
          <w:p>
            <w:pPr>
              <w:spacing w:line="240" w:lineRule="auto" w:before="40" w:after="40"/>
            </w:pPr>
            <w:r>
              <w:rPr>
                <w:rFonts w:eastAsia="SimSun" w:ascii="Times New Roman" w:hAnsi="Times New Roman" w:cs="Times New Roman"/>
                <w:sz w:val="18"/>
              </w:rPr>
              <w:t>Adjusted to online modes during the pandemic</w:t>
            </w:r>
          </w:p>
        </w:tc>
        <w:tc>
          <w:tcPr>
            <w:tcW w:type="dxa" w:w="2258"/>
          </w:tcPr>
          <w:p>
            <w:pPr>
              <w:spacing w:line="240" w:lineRule="auto" w:before="40" w:after="40"/>
            </w:pPr>
            <w:r>
              <w:rPr>
                <w:rFonts w:eastAsia="SimSun" w:ascii="Times New Roman" w:hAnsi="Times New Roman" w:cs="Times New Roman"/>
                <w:sz w:val="18"/>
              </w:rPr>
              <w:t>Relied on existing digital learning ecosystem</w:t>
            </w:r>
          </w:p>
        </w:tc>
      </w:tr>
      <w:tr>
        <w:tc>
          <w:tcPr>
            <w:tcW w:type="dxa" w:w="2256"/>
          </w:tcPr>
          <w:p>
            <w:pPr>
              <w:spacing w:line="240" w:lineRule="auto" w:before="40" w:after="40"/>
            </w:pPr>
            <w:r>
              <w:rPr>
                <w:rFonts w:eastAsia="SimSun" w:ascii="Times New Roman" w:hAnsi="Times New Roman" w:cs="Times New Roman"/>
                <w:sz w:val="18"/>
              </w:rPr>
              <w:t>Principal response</w:t>
            </w:r>
          </w:p>
        </w:tc>
        <w:tc>
          <w:tcPr>
            <w:tcW w:type="dxa" w:w="2256"/>
          </w:tcPr>
          <w:p>
            <w:pPr>
              <w:spacing w:line="240" w:lineRule="auto" w:before="40" w:after="40"/>
            </w:pPr>
            <w:r>
              <w:rPr>
                <w:rFonts w:eastAsia="SimSun" w:ascii="Times New Roman" w:hAnsi="Times New Roman" w:cs="Times New Roman"/>
                <w:sz w:val="18"/>
              </w:rPr>
              <w:t>Cloud-based instruction; resource-centre dispatch; workload coefficients</w:t>
            </w:r>
          </w:p>
        </w:tc>
        <w:tc>
          <w:tcPr>
            <w:tcW w:type="dxa" w:w="2256"/>
          </w:tcPr>
          <w:p>
            <w:pPr>
              <w:spacing w:line="240" w:lineRule="auto" w:before="40" w:after="40"/>
            </w:pPr>
            <w:r>
              <w:rPr>
                <w:rFonts w:eastAsia="SimSun" w:ascii="Times New Roman" w:hAnsi="Times New Roman" w:cs="Times New Roman"/>
                <w:sz w:val="18"/>
              </w:rPr>
              <w:t>3PK interdisciplinary outreach; multilingual materials</w:t>
            </w:r>
          </w:p>
        </w:tc>
        <w:tc>
          <w:tcPr>
            <w:tcW w:type="dxa" w:w="2258"/>
          </w:tcPr>
          <w:p>
            <w:pPr>
              <w:spacing w:line="240" w:lineRule="auto" w:before="40" w:after="40"/>
            </w:pPr>
            <w:r>
              <w:rPr>
                <w:rFonts w:eastAsia="SimSun" w:ascii="Times New Roman" w:hAnsi="Times New Roman" w:cs="Times New Roman"/>
                <w:sz w:val="18"/>
              </w:rPr>
              <w:t>Transition networks; psychological service referral; assistive devices</w:t>
            </w:r>
          </w:p>
        </w:tc>
      </w:tr>
    </w:tbl>
    <w:p>
      <w:pPr>
        <w:spacing w:line="240" w:lineRule="auto"/>
      </w:pPr>
      <w:r>
        <w:rPr>
          <w:sz w:val="12"/>
        </w:rPr>
      </w:r>
    </w:p>
    <w:p>
      <w:pPr>
        <w:pStyle w:val="Heading2"/>
      </w:pPr>
      <w:r>
        <w:rPr>
          <w:rFonts w:ascii="Times New Roman" w:hAnsi="Times New Roman" w:eastAsia="SimSun"/>
        </w:rPr>
        <w:t>9.5 The Common Logic Behind Effective Responses</w:t>
      </w:r>
    </w:p>
    <w:p>
      <w:pPr>
        <w:spacing w:line="480" w:lineRule="auto" w:before="0" w:after="0"/>
        <w:ind w:firstLine="720"/>
      </w:pPr>
      <w:r>
        <w:rPr>
          <w:rFonts w:ascii="Times New Roman" w:hAnsi="Times New Roman" w:eastAsia="SimSun"/>
          <w:b w:val="0"/>
          <w:i w:val="0"/>
          <w:sz w:val="24"/>
        </w:rPr>
        <w:t xml:space="preserve">Effective responses in all three systems point to the same principle: </w:t>
      </w:r>
      <w:r>
        <w:rPr>
          <w:rFonts w:ascii="Times New Roman" w:hAnsi="Times New Roman" w:eastAsia="SimSun"/>
          <w:b/>
          <w:i w:val="0"/>
          <w:sz w:val="24"/>
        </w:rPr>
        <w:t>substitute organisational mechanisms for simply adding more visits</w:t>
      </w:r>
      <w:r>
        <w:rPr>
          <w:rFonts w:ascii="Times New Roman" w:hAnsi="Times New Roman" w:eastAsia="SimSun"/>
          <w:b w:val="0"/>
          <w:i w:val="0"/>
          <w:sz w:val="24"/>
        </w:rPr>
        <w:t>. China's approach is to build resource-centre dispatch and workload accounting. Malaysia's is to build interdisciplinary 3PK service centres. Singapore's is to connect schools, psychological services, and social service agencies into a network. Conversely, if only visit frequency and form-filling increase, service costs rise while the quality of classroom support stays unchanged (D).</w:t>
      </w:r>
    </w:p>
    <w:p>
      <w:pPr>
        <w:spacing w:line="360" w:lineRule="auto" w:before="0" w:after="120"/>
      </w:pPr>
      <w:r>
        <w:rPr>
          <w:rFonts w:ascii="Times New Roman" w:hAnsi="Times New Roman" w:eastAsia="SimSun"/>
          <w:b w:val="0"/>
          <w:i/>
          <w:sz w:val="21"/>
        </w:rPr>
        <w:t>Evidence strength note: Chinese scale data and local incentives are A; pandemic impact is C; Malaysian resources and geography are C; judgements on Singapore's challenges are D.</w:t>
      </w:r>
    </w:p>
    <w:p>
      <w:pPr>
        <w:pStyle w:val="Heading1"/>
      </w:pPr>
      <w:r>
        <w:rPr>
          <w:rFonts w:ascii="Times New Roman" w:hAnsi="Times New Roman" w:eastAsia="SimSun"/>
        </w:rPr>
        <w:t>10. Technological Breakthroughs and Support</w:t>
      </w:r>
    </w:p>
    <w:p>
      <w:pPr>
        <w:pStyle w:val="Heading2"/>
      </w:pPr>
      <w:r>
        <w:rPr>
          <w:rFonts w:ascii="Times New Roman" w:hAnsi="Times New Roman" w:eastAsia="SimSun"/>
        </w:rPr>
        <w:t>10.1 Remote Service: Extending Reach Rather Than Replacing Presence</w:t>
      </w:r>
    </w:p>
    <w:p>
      <w:pPr>
        <w:spacing w:line="480" w:lineRule="auto" w:before="0" w:after="0"/>
        <w:ind w:firstLine="720"/>
      </w:pPr>
      <w:r>
        <w:rPr>
          <w:rFonts w:ascii="Times New Roman" w:hAnsi="Times New Roman" w:eastAsia="SimSun"/>
          <w:b w:val="0"/>
          <w:i w:val="0"/>
          <w:sz w:val="24"/>
        </w:rPr>
        <w:t xml:space="preserve">For China and East Malaysia, the value of telepractice is not to eliminate travel but to combine </w:t>
      </w:r>
      <w:r>
        <w:rPr>
          <w:rFonts w:ascii="Times New Roman" w:hAnsi="Times New Roman" w:eastAsia="SimSun"/>
          <w:b/>
          <w:i w:val="0"/>
          <w:sz w:val="24"/>
        </w:rPr>
        <w:t>low-frequency on-site visits with high-frequency video supervision and parent/teacher consultation</w:t>
      </w:r>
      <w:r>
        <w:rPr>
          <w:rFonts w:ascii="Times New Roman" w:hAnsi="Times New Roman" w:eastAsia="SimSun"/>
          <w:b w:val="0"/>
          <w:i w:val="0"/>
          <w:sz w:val="24"/>
        </w:rPr>
        <w:t>. It can be used for pre-entry observation, IEP/PPI meetings, teacher training, parent coaching, therapist modelling, and pre-reassessment document checks. For Singapore, remote service suits case discussions among schools, psychological services, and medical institutions, as well as parent training. A systematic review indicates preliminary evidence for extended reality and telehealth interventions for children and adolescents with autism spectrum disorder, though effects depend on implementation mode and participant characteristics (Chen et al., 2022). Research on itinerant teachers of deaf and hard-of-hearing students further indicates that remote and mobile service models erode everyday contact between teachers, students, and families, so support for social-emotional learning needs deliberate design and protected time (Norman &amp; Jamieson, 2021). This suggests that when technology substitutes for presence, what is most easily cut is precisely the relational work.</w:t>
      </w:r>
    </w:p>
    <w:p>
      <w:pPr>
        <w:pStyle w:val="Heading2"/>
      </w:pPr>
      <w:r>
        <w:rPr>
          <w:rFonts w:ascii="Times New Roman" w:hAnsi="Times New Roman" w:eastAsia="SimSun"/>
        </w:rPr>
        <w:t>10.2 Online Case Platforms: Designed Around "Goal–Strategy–Evidence–Responsible Person"</w:t>
      </w:r>
    </w:p>
    <w:p>
      <w:pPr>
        <w:spacing w:line="480" w:lineRule="auto" w:before="0" w:after="0"/>
        <w:ind w:firstLine="720"/>
      </w:pPr>
      <w:r>
        <w:rPr>
          <w:rFonts w:ascii="Times New Roman" w:hAnsi="Times New Roman" w:eastAsia="SimSun"/>
          <w:b w:val="0"/>
          <w:i w:val="0"/>
          <w:sz w:val="24"/>
        </w:rPr>
        <w:t>China has student-status systems, resource-centre digitisation, and local "one student, one plan" practice; whether a nationally uniform data standard linking regular-class placement, resource centres, and medical rehabilitation has been formed cannot be confirmed from public materials. Malaysian 3PK can provide screening, assessment, intervention, and consultation, and is technically well suited to connecting school applications, initial assessment, therapy recommendations, parental consent, and reassessment records. In Singapore, schools, MOE psychological services, and SPED/social service agencies can share transition information under permission management. The shared risk is that while data sharing improves convenience, it also widens exposure to diagnostic labelling, home–school disputes, and leakage of sensitive data.</w:t>
      </w:r>
    </w:p>
    <w:p>
      <w:pPr>
        <w:pStyle w:val="Heading2"/>
      </w:pPr>
      <w:r>
        <w:rPr>
          <w:rFonts w:ascii="Times New Roman" w:hAnsi="Times New Roman" w:eastAsia="SimSun"/>
        </w:rPr>
        <w:t>10.3 The Boundaries of Assistive Technology and Artificial Intelligence</w:t>
      </w:r>
    </w:p>
    <w:p>
      <w:pPr>
        <w:spacing w:line="480" w:lineRule="auto" w:before="0" w:after="0"/>
        <w:ind w:firstLine="720"/>
      </w:pPr>
      <w:r>
        <w:rPr>
          <w:rFonts w:ascii="Times New Roman" w:hAnsi="Times New Roman" w:eastAsia="SimSun"/>
          <w:b w:val="0"/>
          <w:i w:val="0"/>
          <w:sz w:val="24"/>
        </w:rPr>
        <w:t xml:space="preserve">Singapore already has practices involving FM systems, electronic magnifiers, and speech-output devices (China Education Daily, 2022). A systematic review shows that whether assistive technology moves from "assistive" to "inclusive" depends on the use context and human support, not on the device itself (Piekema et al., 2024). Artificial intelligence can generate differentiated exercises from IEP goals, convert instructional materials into easy-to-read text, supply teacher-training cases, draft home–school communications, collate classroom observation data, and recommend individualised resources; it </w:t>
      </w:r>
      <w:r>
        <w:rPr>
          <w:rFonts w:ascii="Times New Roman" w:hAnsi="Times New Roman" w:eastAsia="SimSun"/>
          <w:b/>
          <w:i w:val="0"/>
          <w:sz w:val="24"/>
        </w:rPr>
        <w:t>cannot</w:t>
      </w:r>
      <w:r>
        <w:rPr>
          <w:rFonts w:ascii="Times New Roman" w:hAnsi="Times New Roman" w:eastAsia="SimSun"/>
          <w:b w:val="0"/>
          <w:i w:val="0"/>
          <w:sz w:val="24"/>
        </w:rPr>
        <w:t>, however, replace assessment, placement, diagnosis, or high-stakes transition decisions (Hugo Arias-Flores et al., 2025). Related discussion also warns that applications of AI in education must guard against data bias and the marginalisation of low-resource languages (Zhou, 2024).</w:t>
      </w:r>
    </w:p>
    <w:p>
      <w:pPr>
        <w:pStyle w:val="Heading2"/>
      </w:pPr>
      <w:r>
        <w:rPr>
          <w:rFonts w:ascii="Times New Roman" w:hAnsi="Times New Roman" w:eastAsia="SimSun"/>
        </w:rPr>
        <w:t>10.4 Local Chinese Evidence on Cloud-Based Instruction Delivery</w:t>
      </w:r>
    </w:p>
    <w:p>
      <w:pPr>
        <w:spacing w:line="480" w:lineRule="auto" w:before="0" w:after="0"/>
        <w:ind w:firstLine="720"/>
      </w:pPr>
      <w:r>
        <w:rPr>
          <w:rFonts w:ascii="Times New Roman" w:hAnsi="Times New Roman" w:eastAsia="SimSun"/>
          <w:b w:val="0"/>
          <w:i w:val="0"/>
          <w:sz w:val="24"/>
        </w:rPr>
        <w:t xml:space="preserve">The Nan'an model—"special education teacher home visits plus online teaching plus therapist home visits"—equips families with terminals, establishes interactive classrooms, maintains "one student, one plan" growth portfolios, and applies check-in and evaluation for delivered instruction. It shows that government leadership coupled with school–family–agency collaboration can close the service loop, reaching 195 students with severe disabilities after 2021 (Fujian Provincial People's Government, 2025; People's Daily, 2022). This practice has also taken a cross-border form (Fujian Provincial People's Government, 2026). However, the subjects are mainly students with severe disabilities who cannot attend school, so this </w:t>
      </w:r>
      <w:r>
        <w:rPr>
          <w:rFonts w:ascii="Times New Roman" w:hAnsi="Times New Roman" w:eastAsia="SimSun"/>
          <w:b/>
          <w:i w:val="0"/>
          <w:sz w:val="24"/>
        </w:rPr>
        <w:t>cannot</w:t>
      </w:r>
      <w:r>
        <w:rPr>
          <w:rFonts w:ascii="Times New Roman" w:hAnsi="Times New Roman" w:eastAsia="SimSun"/>
          <w:b w:val="0"/>
          <w:i w:val="0"/>
          <w:sz w:val="24"/>
        </w:rPr>
        <w:t xml:space="preserve"> be equated with itinerant support in regular classes; and no randomised controlled or long-term academic/social-adaptation results were located. Only "service accessibility" can therefore be assessed, not "general learning effectiveness."</w:t>
      </w:r>
    </w:p>
    <w:p>
      <w:pPr>
        <w:pStyle w:val="Heading2"/>
      </w:pPr>
      <w:r>
        <w:rPr>
          <w:rFonts w:ascii="Times New Roman" w:hAnsi="Times New Roman" w:eastAsia="SimSun"/>
        </w:rPr>
        <w:t>10.5 Comparative Table of Technology Application</w:t>
      </w:r>
    </w:p>
    <w:tbl>
      <w:tblPr>
        <w:tblW w:type="dxa" w:w="9026"/>
        <w:jc w:val="left"/>
        <w:tblBorders>
          <w:top w:val="single" w:sz="4" w:color="CCCCCC"/>
          <w:left w:val="single" w:sz="4" w:color="CCCCCC"/>
          <w:bottom w:val="single" w:sz="4" w:color="CCCCCC"/>
          <w:right w:val="single" w:sz="4" w:color="CCCCCC"/>
          <w:insideH w:val="single" w:sz="4" w:color="CCCCCC"/>
          <w:insideV w:val="single" w:sz="4" w:color="CCCCCC"/>
        </w:tblBorders>
        <w:tblLayout w:type="fixed"/>
        <w:tblLook w:firstColumn="1" w:firstRow="1" w:lastColumn="0" w:lastRow="0" w:noHBand="0" w:noVBand="1" w:val="04A0"/>
      </w:tblPr>
      <w:tblGrid>
        <w:gridCol w:w="2256"/>
        <w:gridCol w:w="2256"/>
        <w:gridCol w:w="2256"/>
        <w:gridCol w:w="2258"/>
      </w:tblGrid>
      <w:tr>
        <w:tc>
          <w:tcPr>
            <w:tcW w:type="dxa" w:w="2256"/>
            <w:shd w:val="clear" w:color="auto" w:fill="D9D9D9"/>
          </w:tcPr>
          <w:p>
            <w:pPr>
              <w:spacing w:line="240" w:lineRule="auto" w:before="40" w:after="40"/>
            </w:pPr>
            <w:r>
              <w:rPr>
                <w:rFonts w:eastAsia="SimSun" w:ascii="Times New Roman" w:hAnsi="Times New Roman" w:cs="Times New Roman"/>
                <w:b/>
                <w:bCs/>
                <w:sz w:val="18"/>
              </w:rPr>
              <w:t>Technology type</w:t>
            </w:r>
          </w:p>
        </w:tc>
        <w:tc>
          <w:tcPr>
            <w:tcW w:type="dxa" w:w="2256"/>
            <w:shd w:val="clear" w:color="auto" w:fill="D9D9D9"/>
          </w:tcPr>
          <w:p>
            <w:pPr>
              <w:spacing w:line="240" w:lineRule="auto" w:before="40" w:after="40"/>
            </w:pPr>
            <w:r>
              <w:rPr>
                <w:rFonts w:eastAsia="SimSun" w:ascii="Times New Roman" w:hAnsi="Times New Roman" w:cs="Times New Roman"/>
                <w:b/>
                <w:bCs/>
                <w:sz w:val="18"/>
              </w:rPr>
              <w:t>China</w:t>
            </w:r>
          </w:p>
        </w:tc>
        <w:tc>
          <w:tcPr>
            <w:tcW w:type="dxa" w:w="2256"/>
            <w:shd w:val="clear" w:color="auto" w:fill="D9D9D9"/>
          </w:tcPr>
          <w:p>
            <w:pPr>
              <w:spacing w:line="240" w:lineRule="auto" w:before="40" w:after="40"/>
            </w:pPr>
            <w:r>
              <w:rPr>
                <w:rFonts w:eastAsia="SimSun" w:ascii="Times New Roman" w:hAnsi="Times New Roman" w:cs="Times New Roman"/>
                <w:b/>
                <w:bCs/>
                <w:sz w:val="18"/>
              </w:rPr>
              <w:t>Malaysia</w:t>
            </w:r>
          </w:p>
        </w:tc>
        <w:tc>
          <w:tcPr>
            <w:tcW w:type="dxa" w:w="2258"/>
            <w:shd w:val="clear" w:color="auto" w:fill="D9D9D9"/>
          </w:tcPr>
          <w:p>
            <w:pPr>
              <w:spacing w:line="240" w:lineRule="auto" w:before="40" w:after="40"/>
            </w:pPr>
            <w:r>
              <w:rPr>
                <w:rFonts w:eastAsia="SimSun" w:ascii="Times New Roman" w:hAnsi="Times New Roman" w:cs="Times New Roman"/>
                <w:b/>
                <w:bCs/>
                <w:sz w:val="18"/>
              </w:rPr>
              <w:t>Singapore</w:t>
            </w:r>
          </w:p>
        </w:tc>
      </w:tr>
      <w:tr>
        <w:tc>
          <w:tcPr>
            <w:tcW w:type="dxa" w:w="2256"/>
          </w:tcPr>
          <w:p>
            <w:pPr>
              <w:spacing w:line="240" w:lineRule="auto" w:before="40" w:after="40"/>
            </w:pPr>
            <w:r>
              <w:rPr>
                <w:rFonts w:eastAsia="SimSun" w:ascii="Times New Roman" w:hAnsi="Times New Roman" w:cs="Times New Roman"/>
                <w:sz w:val="18"/>
              </w:rPr>
              <w:t>Remote service</w:t>
            </w:r>
          </w:p>
        </w:tc>
        <w:tc>
          <w:tcPr>
            <w:tcW w:type="dxa" w:w="2256"/>
          </w:tcPr>
          <w:p>
            <w:pPr>
              <w:spacing w:line="240" w:lineRule="auto" w:before="40" w:after="40"/>
            </w:pPr>
            <w:r>
              <w:rPr>
                <w:rFonts w:eastAsia="SimSun" w:ascii="Times New Roman" w:hAnsi="Times New Roman" w:cs="Times New Roman"/>
                <w:sz w:val="18"/>
              </w:rPr>
              <w:t>Cloud-based instruction delivery, remote teaching research; local evidence relatively complete</w:t>
            </w:r>
          </w:p>
        </w:tc>
        <w:tc>
          <w:tcPr>
            <w:tcW w:type="dxa" w:w="2256"/>
          </w:tcPr>
          <w:p>
            <w:pPr>
              <w:spacing w:line="240" w:lineRule="auto" w:before="40" w:after="40"/>
            </w:pPr>
            <w:r>
              <w:rPr>
                <w:rFonts w:eastAsia="SimSun" w:ascii="Times New Roman" w:hAnsi="Times New Roman" w:cs="Times New Roman"/>
                <w:sz w:val="18"/>
              </w:rPr>
              <w:t>Online adjustment during the pandemic; strong potential for remote outreach</w:t>
            </w:r>
          </w:p>
        </w:tc>
        <w:tc>
          <w:tcPr>
            <w:tcW w:type="dxa" w:w="2258"/>
          </w:tcPr>
          <w:p>
            <w:pPr>
              <w:spacing w:line="240" w:lineRule="auto" w:before="40" w:after="40"/>
            </w:pPr>
            <w:r>
              <w:rPr>
                <w:rFonts w:eastAsia="SimSun" w:ascii="Times New Roman" w:hAnsi="Times New Roman" w:cs="Times New Roman"/>
                <w:sz w:val="18"/>
              </w:rPr>
              <w:t>Draws on digital learning ecosystem; used for case discussion</w:t>
            </w:r>
          </w:p>
        </w:tc>
      </w:tr>
      <w:tr>
        <w:tc>
          <w:tcPr>
            <w:tcW w:type="dxa" w:w="2256"/>
          </w:tcPr>
          <w:p>
            <w:pPr>
              <w:spacing w:line="240" w:lineRule="auto" w:before="40" w:after="40"/>
            </w:pPr>
            <w:r>
              <w:rPr>
                <w:rFonts w:eastAsia="SimSun" w:ascii="Times New Roman" w:hAnsi="Times New Roman" w:cs="Times New Roman"/>
                <w:sz w:val="18"/>
              </w:rPr>
              <w:t>Case platform</w:t>
            </w:r>
          </w:p>
        </w:tc>
        <w:tc>
          <w:tcPr>
            <w:tcW w:type="dxa" w:w="2256"/>
          </w:tcPr>
          <w:p>
            <w:pPr>
              <w:spacing w:line="240" w:lineRule="auto" w:before="40" w:after="40"/>
            </w:pPr>
            <w:r>
              <w:rPr>
                <w:rFonts w:eastAsia="SimSun" w:ascii="Times New Roman" w:hAnsi="Times New Roman" w:cs="Times New Roman"/>
                <w:sz w:val="18"/>
              </w:rPr>
              <w:t>Student-status and resource-centre digitisation; uniform standard unconfirmed</w:t>
            </w:r>
          </w:p>
        </w:tc>
        <w:tc>
          <w:tcPr>
            <w:tcW w:type="dxa" w:w="2256"/>
          </w:tcPr>
          <w:p>
            <w:pPr>
              <w:spacing w:line="240" w:lineRule="auto" w:before="40" w:after="40"/>
            </w:pPr>
            <w:r>
              <w:rPr>
                <w:rFonts w:eastAsia="SimSun" w:ascii="Times New Roman" w:hAnsi="Times New Roman" w:cs="Times New Roman"/>
                <w:sz w:val="18"/>
              </w:rPr>
              <w:t>3PK can link screening–assessment–intervention–reassessment</w:t>
            </w:r>
          </w:p>
        </w:tc>
        <w:tc>
          <w:tcPr>
            <w:tcW w:type="dxa" w:w="2258"/>
          </w:tcPr>
          <w:p>
            <w:pPr>
              <w:spacing w:line="240" w:lineRule="auto" w:before="40" w:after="40"/>
            </w:pPr>
            <w:r>
              <w:rPr>
                <w:rFonts w:eastAsia="SimSun" w:ascii="Times New Roman" w:hAnsi="Times New Roman" w:cs="Times New Roman"/>
                <w:sz w:val="18"/>
              </w:rPr>
              <w:t>Permission-based sharing across school–psychology–social services</w:t>
            </w:r>
          </w:p>
        </w:tc>
      </w:tr>
      <w:tr>
        <w:tc>
          <w:tcPr>
            <w:tcW w:type="dxa" w:w="2256"/>
          </w:tcPr>
          <w:p>
            <w:pPr>
              <w:spacing w:line="240" w:lineRule="auto" w:before="40" w:after="40"/>
            </w:pPr>
            <w:r>
              <w:rPr>
                <w:rFonts w:eastAsia="SimSun" w:ascii="Times New Roman" w:hAnsi="Times New Roman" w:cs="Times New Roman"/>
                <w:sz w:val="18"/>
              </w:rPr>
              <w:t>Assistive technology</w:t>
            </w:r>
          </w:p>
        </w:tc>
        <w:tc>
          <w:tcPr>
            <w:tcW w:type="dxa" w:w="2256"/>
          </w:tcPr>
          <w:p>
            <w:pPr>
              <w:spacing w:line="240" w:lineRule="auto" w:before="40" w:after="40"/>
            </w:pPr>
            <w:r>
              <w:rPr>
                <w:rFonts w:eastAsia="SimSun" w:ascii="Times New Roman" w:hAnsi="Times New Roman" w:cs="Times New Roman"/>
                <w:sz w:val="18"/>
              </w:rPr>
              <w:t>Resource-room provision; device adaptation</w:t>
            </w:r>
          </w:p>
        </w:tc>
        <w:tc>
          <w:tcPr>
            <w:tcW w:type="dxa" w:w="2256"/>
          </w:tcPr>
          <w:p>
            <w:pPr>
              <w:spacing w:line="240" w:lineRule="auto" w:before="40" w:after="40"/>
            </w:pPr>
            <w:r>
              <w:rPr>
                <w:rFonts w:eastAsia="SimSun" w:ascii="Times New Roman" w:hAnsi="Times New Roman" w:cs="Times New Roman"/>
                <w:sz w:val="18"/>
              </w:rPr>
              <w:t>Interdisciplinary support from service centres</w:t>
            </w:r>
          </w:p>
        </w:tc>
        <w:tc>
          <w:tcPr>
            <w:tcW w:type="dxa" w:w="2258"/>
          </w:tcPr>
          <w:p>
            <w:pPr>
              <w:spacing w:line="240" w:lineRule="auto" w:before="40" w:after="40"/>
            </w:pPr>
            <w:r>
              <w:rPr>
                <w:rFonts w:eastAsia="SimSun" w:ascii="Times New Roman" w:hAnsi="Times New Roman" w:cs="Times New Roman"/>
                <w:sz w:val="18"/>
              </w:rPr>
              <w:t>FM systems, magnifiers, speech-output devices, etc.</w:t>
            </w:r>
          </w:p>
        </w:tc>
      </w:tr>
      <w:tr>
        <w:tc>
          <w:tcPr>
            <w:tcW w:type="dxa" w:w="2256"/>
          </w:tcPr>
          <w:p>
            <w:pPr>
              <w:spacing w:line="240" w:lineRule="auto" w:before="40" w:after="40"/>
            </w:pPr>
            <w:r>
              <w:rPr>
                <w:rFonts w:eastAsia="SimSun" w:ascii="Times New Roman" w:hAnsi="Times New Roman" w:cs="Times New Roman"/>
                <w:sz w:val="18"/>
              </w:rPr>
              <w:t>Artificial intelligence</w:t>
            </w:r>
          </w:p>
        </w:tc>
        <w:tc>
          <w:tcPr>
            <w:tcW w:type="dxa" w:w="2256"/>
          </w:tcPr>
          <w:p>
            <w:pPr>
              <w:spacing w:line="240" w:lineRule="auto" w:before="40" w:after="40"/>
            </w:pPr>
            <w:r>
              <w:rPr>
                <w:rFonts w:eastAsia="SimSun" w:ascii="Times New Roman" w:hAnsi="Times New Roman" w:cs="Times New Roman"/>
                <w:sz w:val="18"/>
              </w:rPr>
              <w:t>Incorporated into teacher basic competencies and teaching research agenda</w:t>
            </w:r>
          </w:p>
        </w:tc>
        <w:tc>
          <w:tcPr>
            <w:tcW w:type="dxa" w:w="2256"/>
          </w:tcPr>
          <w:p>
            <w:pPr>
              <w:spacing w:line="240" w:lineRule="auto" w:before="40" w:after="40"/>
            </w:pPr>
            <w:r>
              <w:rPr>
                <w:rFonts w:eastAsia="SimSun" w:ascii="Times New Roman" w:hAnsi="Times New Roman" w:cs="Times New Roman"/>
                <w:sz w:val="18"/>
              </w:rPr>
              <w:t>Application at an early stage</w:t>
            </w:r>
          </w:p>
        </w:tc>
        <w:tc>
          <w:tcPr>
            <w:tcW w:type="dxa" w:w="2258"/>
          </w:tcPr>
          <w:p>
            <w:pPr>
              <w:spacing w:line="240" w:lineRule="auto" w:before="40" w:after="40"/>
            </w:pPr>
            <w:r>
              <w:rPr>
                <w:rFonts w:eastAsia="SimSun" w:ascii="Times New Roman" w:hAnsi="Times New Roman" w:cs="Times New Roman"/>
                <w:sz w:val="18"/>
              </w:rPr>
              <w:t>Supported by digital ecosystem, but needs a governance framework</w:t>
            </w:r>
          </w:p>
        </w:tc>
      </w:tr>
      <w:tr>
        <w:tc>
          <w:tcPr>
            <w:tcW w:type="dxa" w:w="2256"/>
          </w:tcPr>
          <w:p>
            <w:pPr>
              <w:spacing w:line="240" w:lineRule="auto" w:before="40" w:after="40"/>
            </w:pPr>
            <w:r>
              <w:rPr>
                <w:rFonts w:eastAsia="SimSun" w:ascii="Times New Roman" w:hAnsi="Times New Roman" w:cs="Times New Roman"/>
                <w:sz w:val="18"/>
              </w:rPr>
              <w:t>Principal risk</w:t>
            </w:r>
          </w:p>
        </w:tc>
        <w:tc>
          <w:tcPr>
            <w:tcW w:type="dxa" w:w="2256"/>
          </w:tcPr>
          <w:p>
            <w:pPr>
              <w:spacing w:line="240" w:lineRule="auto" w:before="40" w:after="40"/>
            </w:pPr>
            <w:r>
              <w:rPr>
                <w:rFonts w:eastAsia="SimSun" w:ascii="Times New Roman" w:hAnsi="Times New Roman" w:cs="Times New Roman"/>
                <w:sz w:val="18"/>
              </w:rPr>
              <w:t>Digital divide; form-filling</w:t>
            </w:r>
          </w:p>
        </w:tc>
        <w:tc>
          <w:tcPr>
            <w:tcW w:type="dxa" w:w="2256"/>
          </w:tcPr>
          <w:p>
            <w:pPr>
              <w:spacing w:line="240" w:lineRule="auto" w:before="40" w:after="40"/>
            </w:pPr>
            <w:r>
              <w:rPr>
                <w:rFonts w:eastAsia="SimSun" w:ascii="Times New Roman" w:hAnsi="Times New Roman" w:cs="Times New Roman"/>
                <w:sz w:val="18"/>
              </w:rPr>
              <w:t>Network and device accessibility</w:t>
            </w:r>
          </w:p>
        </w:tc>
        <w:tc>
          <w:tcPr>
            <w:tcW w:type="dxa" w:w="2258"/>
          </w:tcPr>
          <w:p>
            <w:pPr>
              <w:spacing w:line="240" w:lineRule="auto" w:before="40" w:after="40"/>
            </w:pPr>
            <w:r>
              <w:rPr>
                <w:rFonts w:eastAsia="SimSun" w:ascii="Times New Roman" w:hAnsi="Times New Roman" w:cs="Times New Roman"/>
                <w:sz w:val="18"/>
              </w:rPr>
              <w:t>Data permissions and privacy boundaries</w:t>
            </w:r>
          </w:p>
        </w:tc>
      </w:tr>
    </w:tbl>
    <w:p>
      <w:pPr>
        <w:spacing w:line="240" w:lineRule="auto"/>
      </w:pPr>
      <w:r>
        <w:rPr>
          <w:sz w:val="12"/>
        </w:rPr>
      </w:r>
    </w:p>
    <w:p>
      <w:pPr>
        <w:pStyle w:val="Heading2"/>
      </w:pPr>
      <w:r>
        <w:rPr>
          <w:rFonts w:ascii="Times New Roman" w:hAnsi="Times New Roman" w:eastAsia="SimSun"/>
        </w:rPr>
        <w:t>10.6 Priority Order for Technology Investment</w:t>
      </w:r>
    </w:p>
    <w:p>
      <w:pPr>
        <w:spacing w:line="480" w:lineRule="auto" w:before="0" w:after="0"/>
        <w:ind w:firstLine="720"/>
      </w:pPr>
      <w:r>
        <w:rPr>
          <w:rFonts w:ascii="Times New Roman" w:hAnsi="Times New Roman" w:eastAsia="SimSun"/>
          <w:b w:val="0"/>
          <w:i w:val="0"/>
          <w:sz w:val="24"/>
        </w:rPr>
        <w:t xml:space="preserve">The appropriate sequence is: </w:t>
      </w:r>
      <w:r>
        <w:rPr>
          <w:rFonts w:ascii="Times New Roman" w:hAnsi="Times New Roman" w:eastAsia="SimSun"/>
          <w:b/>
          <w:i w:val="0"/>
          <w:sz w:val="24"/>
        </w:rPr>
        <w:t>network and device accessibility → teacher digital competence → unified case platform → assistive technology/AAC → AI enhancement</w:t>
      </w:r>
      <w:r>
        <w:rPr>
          <w:rFonts w:ascii="Times New Roman" w:hAnsi="Times New Roman" w:eastAsia="SimSun"/>
          <w:b w:val="0"/>
          <w:i w:val="0"/>
          <w:sz w:val="24"/>
        </w:rPr>
        <w:t>. It must not be inverted. If teachers lack stable connectivity, devices, and privacy protocols, AI systems will only widen the digital divide between urban and rural areas, languages, and families; if the platform provides no executable teaching strategies, it will only generate new forms. China has incorporated 5G and artificial intelligence into the basic competencies of special education teachers and into remote teaching research (MOE China, 2023), but the evaluation focus should shift from "how much AI was used" to "whether student goals advanced and whether mainstream teachers acquired transferable strategies" (D).</w:t>
      </w:r>
    </w:p>
    <w:p>
      <w:pPr>
        <w:spacing w:line="360" w:lineRule="auto" w:before="0" w:after="120"/>
      </w:pPr>
      <w:r>
        <w:rPr>
          <w:rFonts w:ascii="Times New Roman" w:hAnsi="Times New Roman" w:eastAsia="SimSun"/>
          <w:b w:val="0"/>
          <w:i/>
          <w:sz w:val="21"/>
        </w:rPr>
        <w:t>Evidence strength note: Chinese cloud-based practice is A/C; technology reviews are B; AI-in-education applications are B/C; the priority-order recommendation is D.</w:t>
      </w:r>
    </w:p>
    <w:p>
      <w:pPr>
        <w:pStyle w:val="Heading1"/>
      </w:pPr>
      <w:r>
        <w:rPr>
          <w:rFonts w:ascii="Times New Roman" w:hAnsi="Times New Roman" w:eastAsia="SimSun"/>
        </w:rPr>
        <w:t>11. Synthesis: Sources of Similarity and Difference, Mutual Learning, and Limitations</w:t>
      </w:r>
    </w:p>
    <w:p>
      <w:pPr>
        <w:pStyle w:val="Heading2"/>
      </w:pPr>
      <w:r>
        <w:rPr>
          <w:rFonts w:ascii="Times New Roman" w:hAnsi="Times New Roman" w:eastAsia="SimSun"/>
        </w:rPr>
        <w:t>11.1 Three Organisational Solutions, Not One Developmental Sequence</w:t>
      </w:r>
    </w:p>
    <w:p>
      <w:pPr>
        <w:spacing w:line="480" w:lineRule="auto" w:before="0" w:after="0"/>
        <w:ind w:firstLine="720"/>
      </w:pPr>
      <w:r>
        <w:rPr>
          <w:rFonts w:ascii="Times New Roman" w:hAnsi="Times New Roman" w:eastAsia="SimSun"/>
          <w:b w:val="0"/>
          <w:i w:val="0"/>
          <w:sz w:val="24"/>
        </w:rPr>
        <w:t xml:space="preserve">The three systems are not a simple "developed–developing" sequence; they are three organisational solutions addressing different constraints. </w:t>
      </w:r>
      <w:r>
        <w:rPr>
          <w:rFonts w:ascii="Times New Roman" w:hAnsi="Times New Roman" w:eastAsia="SimSun"/>
          <w:b/>
          <w:i w:val="0"/>
          <w:sz w:val="24"/>
        </w:rPr>
        <w:t>China uses county-level resource centres to institutionalise cross-school itinerancy</w:t>
      </w:r>
      <w:r>
        <w:rPr>
          <w:rFonts w:ascii="Times New Roman" w:hAnsi="Times New Roman" w:eastAsia="SimSun"/>
          <w:b w:val="0"/>
          <w:i w:val="0"/>
          <w:sz w:val="24"/>
        </w:rPr>
        <w:t xml:space="preserve">, suiting a wide-area school network but requiring stable establishment, training, transport, workload accounting, and performance guarantees. </w:t>
      </w:r>
      <w:r>
        <w:rPr>
          <w:rFonts w:ascii="Times New Roman" w:hAnsi="Times New Roman" w:eastAsia="SimSun"/>
          <w:b/>
          <w:i w:val="0"/>
          <w:sz w:val="24"/>
        </w:rPr>
        <w:t>Malaysia builds on school-based PPKI and extends outward through Program Inklusif / 3PK</w:t>
      </w:r>
      <w:r>
        <w:rPr>
          <w:rFonts w:ascii="Times New Roman" w:hAnsi="Times New Roman" w:eastAsia="SimSun"/>
          <w:b w:val="0"/>
          <w:i w:val="0"/>
          <w:sz w:val="24"/>
        </w:rPr>
        <w:t xml:space="preserve">, making "school-based coordinator plus regional outreach team" more appropriate than rushing to create a nationwide itinerant post. </w:t>
      </w:r>
      <w:r>
        <w:rPr>
          <w:rFonts w:ascii="Times New Roman" w:hAnsi="Times New Roman" w:eastAsia="SimSun"/>
          <w:b/>
          <w:i w:val="0"/>
          <w:sz w:val="24"/>
        </w:rPr>
        <w:t>Singapore centres on school-based support, a dual SPED track, and transition networks</w:t>
      </w:r>
      <w:r>
        <w:rPr>
          <w:rFonts w:ascii="Times New Roman" w:hAnsi="Times New Roman" w:eastAsia="SimSun"/>
          <w:b w:val="0"/>
          <w:i w:val="0"/>
          <w:sz w:val="24"/>
        </w:rPr>
        <w:t>, and should export experience in case collaboration and adult transition; its high-density urban model should not be copied directly into large-territory countries.</w:t>
      </w:r>
    </w:p>
    <w:p>
      <w:pPr>
        <w:pStyle w:val="Heading2"/>
      </w:pPr>
      <w:r>
        <w:rPr>
          <w:rFonts w:ascii="Times New Roman" w:hAnsi="Times New Roman" w:eastAsia="SimSun"/>
        </w:rPr>
        <w:t>11.2 Integrated Comparison Matrix</w:t>
      </w:r>
    </w:p>
    <w:tbl>
      <w:tblPr>
        <w:tblW w:type="dxa" w:w="9026"/>
        <w:jc w:val="left"/>
        <w:tblBorders>
          <w:top w:val="single" w:sz="4" w:color="CCCCCC"/>
          <w:left w:val="single" w:sz="4" w:color="CCCCCC"/>
          <w:bottom w:val="single" w:sz="4" w:color="CCCCCC"/>
          <w:right w:val="single" w:sz="4" w:color="CCCCCC"/>
          <w:insideH w:val="single" w:sz="4" w:color="CCCCCC"/>
          <w:insideV w:val="single" w:sz="4" w:color="CCCCCC"/>
        </w:tblBorders>
        <w:tblLayout w:type="fixed"/>
        <w:tblLook w:firstColumn="1" w:firstRow="1" w:lastColumn="0" w:lastRow="0" w:noHBand="0" w:noVBand="1" w:val="04A0"/>
      </w:tblPr>
      <w:tblGrid>
        <w:gridCol w:w="1805"/>
        <w:gridCol w:w="1805"/>
        <w:gridCol w:w="1805"/>
        <w:gridCol w:w="1805"/>
        <w:gridCol w:w="1806"/>
      </w:tblGrid>
      <w:tr>
        <w:tc>
          <w:tcPr>
            <w:tcW w:type="dxa" w:w="1805"/>
            <w:shd w:val="clear" w:color="auto" w:fill="D9D9D9"/>
          </w:tcPr>
          <w:p>
            <w:pPr>
              <w:spacing w:line="240" w:lineRule="auto" w:before="40" w:after="40"/>
            </w:pPr>
            <w:r>
              <w:rPr>
                <w:rFonts w:eastAsia="SimSun" w:ascii="Times New Roman" w:hAnsi="Times New Roman" w:cs="Times New Roman"/>
                <w:b/>
                <w:bCs/>
                <w:sz w:val="18"/>
              </w:rPr>
              <w:t>Dimension</w:t>
            </w:r>
          </w:p>
        </w:tc>
        <w:tc>
          <w:tcPr>
            <w:tcW w:type="dxa" w:w="1805"/>
            <w:shd w:val="clear" w:color="auto" w:fill="D9D9D9"/>
          </w:tcPr>
          <w:p>
            <w:pPr>
              <w:spacing w:line="240" w:lineRule="auto" w:before="40" w:after="40"/>
            </w:pPr>
            <w:r>
              <w:rPr>
                <w:rFonts w:eastAsia="SimSun" w:ascii="Times New Roman" w:hAnsi="Times New Roman" w:cs="Times New Roman"/>
                <w:b/>
                <w:bCs/>
                <w:sz w:val="18"/>
              </w:rPr>
              <w:t>China</w:t>
            </w:r>
          </w:p>
        </w:tc>
        <w:tc>
          <w:tcPr>
            <w:tcW w:type="dxa" w:w="1805"/>
            <w:shd w:val="clear" w:color="auto" w:fill="D9D9D9"/>
          </w:tcPr>
          <w:p>
            <w:pPr>
              <w:spacing w:line="240" w:lineRule="auto" w:before="40" w:after="40"/>
            </w:pPr>
            <w:r>
              <w:rPr>
                <w:rFonts w:eastAsia="SimSun" w:ascii="Times New Roman" w:hAnsi="Times New Roman" w:cs="Times New Roman"/>
                <w:b/>
                <w:bCs/>
                <w:sz w:val="18"/>
              </w:rPr>
              <w:t>Malaysia</w:t>
            </w:r>
          </w:p>
        </w:tc>
        <w:tc>
          <w:tcPr>
            <w:tcW w:type="dxa" w:w="1805"/>
            <w:shd w:val="clear" w:color="auto" w:fill="D9D9D9"/>
          </w:tcPr>
          <w:p>
            <w:pPr>
              <w:spacing w:line="240" w:lineRule="auto" w:before="40" w:after="40"/>
            </w:pPr>
            <w:r>
              <w:rPr>
                <w:rFonts w:eastAsia="SimSun" w:ascii="Times New Roman" w:hAnsi="Times New Roman" w:cs="Times New Roman"/>
                <w:b/>
                <w:bCs/>
                <w:sz w:val="18"/>
              </w:rPr>
              <w:t>Singapore</w:t>
            </w:r>
          </w:p>
        </w:tc>
        <w:tc>
          <w:tcPr>
            <w:tcW w:type="dxa" w:w="1806"/>
            <w:shd w:val="clear" w:color="auto" w:fill="D9D9D9"/>
          </w:tcPr>
          <w:p>
            <w:pPr>
              <w:spacing w:line="240" w:lineRule="auto" w:before="40" w:after="40"/>
            </w:pPr>
            <w:r>
              <w:rPr>
                <w:rFonts w:eastAsia="SimSun" w:ascii="Times New Roman" w:hAnsi="Times New Roman" w:cs="Times New Roman"/>
                <w:b/>
                <w:bCs/>
                <w:sz w:val="18"/>
              </w:rPr>
              <w:t>Comparative judgement</w:t>
            </w:r>
          </w:p>
        </w:tc>
      </w:tr>
      <w:tr>
        <w:tc>
          <w:tcPr>
            <w:tcW w:type="dxa" w:w="1805"/>
          </w:tcPr>
          <w:p>
            <w:pPr>
              <w:spacing w:line="240" w:lineRule="auto" w:before="40" w:after="40"/>
            </w:pPr>
            <w:r>
              <w:rPr>
                <w:rFonts w:eastAsia="SimSun" w:ascii="Times New Roman" w:hAnsi="Times New Roman" w:cs="Times New Roman"/>
                <w:sz w:val="18"/>
              </w:rPr>
              <w:t>Mobility mode</w:t>
            </w:r>
          </w:p>
        </w:tc>
        <w:tc>
          <w:tcPr>
            <w:tcW w:type="dxa" w:w="1805"/>
          </w:tcPr>
          <w:p>
            <w:pPr>
              <w:spacing w:line="240" w:lineRule="auto" w:before="40" w:after="40"/>
            </w:pPr>
            <w:r>
              <w:rPr>
                <w:rFonts w:eastAsia="SimSun" w:ascii="Times New Roman" w:hAnsi="Times New Roman" w:cs="Times New Roman"/>
                <w:sz w:val="18"/>
              </w:rPr>
              <w:t>Resource centre → mainstream school</w:t>
            </w:r>
          </w:p>
        </w:tc>
        <w:tc>
          <w:tcPr>
            <w:tcW w:type="dxa" w:w="1805"/>
          </w:tcPr>
          <w:p>
            <w:pPr>
              <w:spacing w:line="240" w:lineRule="auto" w:before="40" w:after="40"/>
            </w:pPr>
            <w:r>
              <w:rPr>
                <w:rFonts w:eastAsia="SimSun" w:ascii="Times New Roman" w:hAnsi="Times New Roman" w:cs="Times New Roman"/>
                <w:sz w:val="18"/>
              </w:rPr>
              <w:t>School-based / service-centre outreach</w:t>
            </w:r>
          </w:p>
        </w:tc>
        <w:tc>
          <w:tcPr>
            <w:tcW w:type="dxa" w:w="1805"/>
          </w:tcPr>
          <w:p>
            <w:pPr>
              <w:spacing w:line="240" w:lineRule="auto" w:before="40" w:after="40"/>
            </w:pPr>
            <w:r>
              <w:rPr>
                <w:rFonts w:eastAsia="SimSun" w:ascii="Times New Roman" w:hAnsi="Times New Roman" w:cs="Times New Roman"/>
                <w:sz w:val="18"/>
              </w:rPr>
              <w:t>School-based plus service-node linkage</w:t>
            </w:r>
          </w:p>
        </w:tc>
        <w:tc>
          <w:tcPr>
            <w:tcW w:type="dxa" w:w="1806"/>
          </w:tcPr>
          <w:p>
            <w:pPr>
              <w:spacing w:line="240" w:lineRule="auto" w:before="40" w:after="40"/>
            </w:pPr>
            <w:r>
              <w:rPr>
                <w:rFonts w:eastAsia="SimSun" w:ascii="Times New Roman" w:hAnsi="Times New Roman" w:cs="Times New Roman"/>
                <w:sz w:val="18"/>
              </w:rPr>
              <w:t>China's cross-school institutionalisation is highest</w:t>
            </w:r>
          </w:p>
        </w:tc>
      </w:tr>
      <w:tr>
        <w:tc>
          <w:tcPr>
            <w:tcW w:type="dxa" w:w="1805"/>
          </w:tcPr>
          <w:p>
            <w:pPr>
              <w:spacing w:line="240" w:lineRule="auto" w:before="40" w:after="40"/>
            </w:pPr>
            <w:r>
              <w:rPr>
                <w:rFonts w:eastAsia="SimSun" w:ascii="Times New Roman" w:hAnsi="Times New Roman" w:cs="Times New Roman"/>
                <w:sz w:val="18"/>
              </w:rPr>
              <w:t>Principal posts</w:t>
            </w:r>
          </w:p>
        </w:tc>
        <w:tc>
          <w:tcPr>
            <w:tcW w:type="dxa" w:w="1805"/>
          </w:tcPr>
          <w:p>
            <w:pPr>
              <w:spacing w:line="240" w:lineRule="auto" w:before="40" w:after="40"/>
            </w:pPr>
            <w:r>
              <w:rPr>
                <w:rFonts w:eastAsia="SimSun" w:ascii="Times New Roman" w:hAnsi="Times New Roman" w:cs="Times New Roman"/>
                <w:sz w:val="18"/>
              </w:rPr>
              <w:t>Itinerant guidance teacher, resource teacher</w:t>
            </w:r>
          </w:p>
        </w:tc>
        <w:tc>
          <w:tcPr>
            <w:tcW w:type="dxa" w:w="1805"/>
          </w:tcPr>
          <w:p>
            <w:pPr>
              <w:spacing w:line="240" w:lineRule="auto" w:before="40" w:after="40"/>
            </w:pPr>
            <w:r>
              <w:rPr>
                <w:rFonts w:eastAsia="SimSun" w:ascii="Times New Roman" w:hAnsi="Times New Roman" w:cs="Times New Roman"/>
                <w:sz w:val="18"/>
              </w:rPr>
              <w:t>Guru Pendidikan Khas, 3PK</w:t>
            </w:r>
          </w:p>
        </w:tc>
        <w:tc>
          <w:tcPr>
            <w:tcW w:type="dxa" w:w="1805"/>
          </w:tcPr>
          <w:p>
            <w:pPr>
              <w:spacing w:line="240" w:lineRule="auto" w:before="40" w:after="40"/>
            </w:pPr>
            <w:r>
              <w:rPr>
                <w:rFonts w:eastAsia="SimSun" w:ascii="Times New Roman" w:hAnsi="Times New Roman" w:cs="Times New Roman"/>
                <w:sz w:val="18"/>
              </w:rPr>
              <w:t>AED(LBS), SPED teachers, SEN officers</w:t>
            </w:r>
          </w:p>
        </w:tc>
        <w:tc>
          <w:tcPr>
            <w:tcW w:type="dxa" w:w="1806"/>
          </w:tcPr>
          <w:p>
            <w:pPr>
              <w:spacing w:line="240" w:lineRule="auto" w:before="40" w:after="40"/>
            </w:pPr>
            <w:r>
              <w:rPr>
                <w:rFonts w:eastAsia="SimSun" w:ascii="Times New Roman" w:hAnsi="Times New Roman" w:cs="Times New Roman"/>
                <w:sz w:val="18"/>
              </w:rPr>
              <w:t>Posts are not equivalent; literal translation inadvisable</w:t>
            </w:r>
          </w:p>
        </w:tc>
      </w:tr>
      <w:tr>
        <w:tc>
          <w:tcPr>
            <w:tcW w:type="dxa" w:w="1805"/>
          </w:tcPr>
          <w:p>
            <w:pPr>
              <w:spacing w:line="240" w:lineRule="auto" w:before="40" w:after="40"/>
            </w:pPr>
            <w:r>
              <w:rPr>
                <w:rFonts w:eastAsia="SimSun" w:ascii="Times New Roman" w:hAnsi="Times New Roman" w:cs="Times New Roman"/>
                <w:sz w:val="18"/>
              </w:rPr>
              <w:t>IEP / PPI</w:t>
            </w:r>
          </w:p>
        </w:tc>
        <w:tc>
          <w:tcPr>
            <w:tcW w:type="dxa" w:w="1805"/>
          </w:tcPr>
          <w:p>
            <w:pPr>
              <w:spacing w:line="240" w:lineRule="auto" w:before="40" w:after="40"/>
            </w:pPr>
            <w:r>
              <w:rPr>
                <w:rFonts w:eastAsia="SimSun" w:ascii="Times New Roman" w:hAnsi="Times New Roman" w:cs="Times New Roman"/>
                <w:sz w:val="18"/>
              </w:rPr>
              <w:t>"One student, one plan"; individualised education/teaching plan</w:t>
            </w:r>
          </w:p>
        </w:tc>
        <w:tc>
          <w:tcPr>
            <w:tcW w:type="dxa" w:w="1805"/>
          </w:tcPr>
          <w:p>
            <w:pPr>
              <w:spacing w:line="240" w:lineRule="auto" w:before="40" w:after="40"/>
            </w:pPr>
            <w:r>
              <w:rPr>
                <w:rFonts w:eastAsia="SimSun" w:ascii="Times New Roman" w:hAnsi="Times New Roman" w:cs="Times New Roman"/>
                <w:sz w:val="18"/>
              </w:rPr>
              <w:t>PPI</w:t>
            </w:r>
          </w:p>
        </w:tc>
        <w:tc>
          <w:tcPr>
            <w:tcW w:type="dxa" w:w="1805"/>
          </w:tcPr>
          <w:p>
            <w:pPr>
              <w:spacing w:line="240" w:lineRule="auto" w:before="40" w:after="40"/>
            </w:pPr>
            <w:r>
              <w:rPr>
                <w:rFonts w:eastAsia="SimSun" w:ascii="Times New Roman" w:hAnsi="Times New Roman" w:cs="Times New Roman"/>
                <w:sz w:val="18"/>
              </w:rPr>
              <w:t>IEP / individualised transition plan</w:t>
            </w:r>
          </w:p>
        </w:tc>
        <w:tc>
          <w:tcPr>
            <w:tcW w:type="dxa" w:w="1806"/>
          </w:tcPr>
          <w:p>
            <w:pPr>
              <w:spacing w:line="240" w:lineRule="auto" w:before="40" w:after="40"/>
            </w:pPr>
            <w:r>
              <w:rPr>
                <w:rFonts w:eastAsia="SimSun" w:ascii="Times New Roman" w:hAnsi="Times New Roman" w:cs="Times New Roman"/>
                <w:sz w:val="18"/>
              </w:rPr>
              <w:t>All three emphasise individualisation</w:t>
            </w:r>
          </w:p>
        </w:tc>
      </w:tr>
      <w:tr>
        <w:tc>
          <w:tcPr>
            <w:tcW w:type="dxa" w:w="1805"/>
          </w:tcPr>
          <w:p>
            <w:pPr>
              <w:spacing w:line="240" w:lineRule="auto" w:before="40" w:after="40"/>
            </w:pPr>
            <w:r>
              <w:rPr>
                <w:rFonts w:eastAsia="SimSun" w:ascii="Times New Roman" w:hAnsi="Times New Roman" w:cs="Times New Roman"/>
                <w:sz w:val="18"/>
              </w:rPr>
              <w:t>Qualification threshold</w:t>
            </w:r>
          </w:p>
        </w:tc>
        <w:tc>
          <w:tcPr>
            <w:tcW w:type="dxa" w:w="1805"/>
          </w:tcPr>
          <w:p>
            <w:pPr>
              <w:spacing w:line="240" w:lineRule="auto" w:before="40" w:after="40"/>
            </w:pPr>
            <w:r>
              <w:rPr>
                <w:rFonts w:eastAsia="SimSun" w:ascii="Times New Roman" w:hAnsi="Times New Roman" w:cs="Times New Roman"/>
                <w:sz w:val="18"/>
              </w:rPr>
              <w:t>Special education degree or passed provincial training</w:t>
            </w:r>
          </w:p>
        </w:tc>
        <w:tc>
          <w:tcPr>
            <w:tcW w:type="dxa" w:w="1805"/>
          </w:tcPr>
          <w:p>
            <w:pPr>
              <w:spacing w:line="240" w:lineRule="auto" w:before="40" w:after="40"/>
            </w:pPr>
            <w:r>
              <w:rPr>
                <w:rFonts w:eastAsia="SimSun" w:ascii="Times New Roman" w:hAnsi="Times New Roman" w:cs="Times New Roman"/>
                <w:sz w:val="18"/>
              </w:rPr>
              <w:t>SPED teacher education; in-school qualifications insufficient</w:t>
            </w:r>
          </w:p>
        </w:tc>
        <w:tc>
          <w:tcPr>
            <w:tcW w:type="dxa" w:w="1805"/>
          </w:tcPr>
          <w:p>
            <w:pPr>
              <w:spacing w:line="240" w:lineRule="auto" w:before="40" w:after="40"/>
            </w:pPr>
            <w:r>
              <w:rPr>
                <w:rFonts w:eastAsia="SimSun" w:ascii="Times New Roman" w:hAnsi="Times New Roman" w:cs="Times New Roman"/>
                <w:sz w:val="18"/>
              </w:rPr>
              <w:t>Specialist training plus career and competency framework</w:t>
            </w:r>
          </w:p>
        </w:tc>
        <w:tc>
          <w:tcPr>
            <w:tcW w:type="dxa" w:w="1806"/>
          </w:tcPr>
          <w:p>
            <w:pPr>
              <w:spacing w:line="240" w:lineRule="auto" w:before="40" w:after="40"/>
            </w:pPr>
            <w:r>
              <w:rPr>
                <w:rFonts w:eastAsia="SimSun" w:ascii="Times New Roman" w:hAnsi="Times New Roman" w:cs="Times New Roman"/>
                <w:sz w:val="18"/>
              </w:rPr>
              <w:t>Singapore's professionalisation pathway is clearest</w:t>
            </w:r>
          </w:p>
        </w:tc>
      </w:tr>
      <w:tr>
        <w:tc>
          <w:tcPr>
            <w:tcW w:type="dxa" w:w="1805"/>
          </w:tcPr>
          <w:p>
            <w:pPr>
              <w:spacing w:line="240" w:lineRule="auto" w:before="40" w:after="40"/>
            </w:pPr>
            <w:r>
              <w:rPr>
                <w:rFonts w:eastAsia="SimSun" w:ascii="Times New Roman" w:hAnsi="Times New Roman" w:cs="Times New Roman"/>
                <w:sz w:val="18"/>
              </w:rPr>
              <w:t>Workload accounting</w:t>
            </w:r>
          </w:p>
        </w:tc>
        <w:tc>
          <w:tcPr>
            <w:tcW w:type="dxa" w:w="1805"/>
          </w:tcPr>
          <w:p>
            <w:pPr>
              <w:spacing w:line="240" w:lineRule="auto" w:before="40" w:after="40"/>
            </w:pPr>
            <w:r>
              <w:rPr>
                <w:rFonts w:eastAsia="SimSun" w:ascii="Times New Roman" w:hAnsi="Times New Roman" w:cs="Times New Roman"/>
                <w:sz w:val="18"/>
              </w:rPr>
              <w:t>Local pilot (coefficient ≥ 0.6)</w:t>
            </w:r>
          </w:p>
        </w:tc>
        <w:tc>
          <w:tcPr>
            <w:tcW w:type="dxa" w:w="1805"/>
          </w:tcPr>
          <w:p>
            <w:pPr>
              <w:spacing w:line="240" w:lineRule="auto" w:before="40" w:after="40"/>
            </w:pPr>
            <w:r>
              <w:rPr>
                <w:rFonts w:eastAsia="SimSun" w:ascii="Times New Roman" w:hAnsi="Times New Roman" w:cs="Times New Roman"/>
                <w:sz w:val="18"/>
              </w:rPr>
              <w:t>No public standard identified</w:t>
            </w:r>
          </w:p>
        </w:tc>
        <w:tc>
          <w:tcPr>
            <w:tcW w:type="dxa" w:w="1805"/>
          </w:tcPr>
          <w:p>
            <w:pPr>
              <w:spacing w:line="240" w:lineRule="auto" w:before="40" w:after="40"/>
            </w:pPr>
            <w:r>
              <w:rPr>
                <w:rFonts w:eastAsia="SimSun" w:ascii="Times New Roman" w:hAnsi="Times New Roman" w:cs="Times New Roman"/>
                <w:sz w:val="18"/>
              </w:rPr>
              <w:t>No public standard identified</w:t>
            </w:r>
          </w:p>
        </w:tc>
        <w:tc>
          <w:tcPr>
            <w:tcW w:type="dxa" w:w="1806"/>
          </w:tcPr>
          <w:p>
            <w:pPr>
              <w:spacing w:line="240" w:lineRule="auto" w:before="40" w:after="40"/>
            </w:pPr>
            <w:r>
              <w:rPr>
                <w:rFonts w:eastAsia="SimSun" w:ascii="Times New Roman" w:hAnsi="Times New Roman" w:cs="Times New Roman"/>
                <w:sz w:val="18"/>
              </w:rPr>
              <w:t>A shared shortcoming in all three</w:t>
            </w:r>
          </w:p>
        </w:tc>
      </w:tr>
      <w:tr>
        <w:tc>
          <w:tcPr>
            <w:tcW w:type="dxa" w:w="1805"/>
          </w:tcPr>
          <w:p>
            <w:pPr>
              <w:spacing w:line="240" w:lineRule="auto" w:before="40" w:after="40"/>
            </w:pPr>
            <w:r>
              <w:rPr>
                <w:rFonts w:eastAsia="SimSun" w:ascii="Times New Roman" w:hAnsi="Times New Roman" w:cs="Times New Roman"/>
                <w:sz w:val="18"/>
              </w:rPr>
              <w:t>Collaboration intensity</w:t>
            </w:r>
          </w:p>
        </w:tc>
        <w:tc>
          <w:tcPr>
            <w:tcW w:type="dxa" w:w="1805"/>
          </w:tcPr>
          <w:p>
            <w:pPr>
              <w:spacing w:line="240" w:lineRule="auto" w:before="40" w:after="40"/>
            </w:pPr>
            <w:r>
              <w:rPr>
                <w:rFonts w:eastAsia="SimSun" w:ascii="Times New Roman" w:hAnsi="Times New Roman" w:cs="Times New Roman"/>
                <w:sz w:val="18"/>
              </w:rPr>
              <w:t>Complete multi-department policy chain</w:t>
            </w:r>
          </w:p>
        </w:tc>
        <w:tc>
          <w:tcPr>
            <w:tcW w:type="dxa" w:w="1805"/>
          </w:tcPr>
          <w:p>
            <w:pPr>
              <w:spacing w:line="240" w:lineRule="auto" w:before="40" w:after="40"/>
            </w:pPr>
            <w:r>
              <w:rPr>
                <w:rFonts w:eastAsia="SimSun" w:ascii="Times New Roman" w:hAnsi="Times New Roman" w:cs="Times New Roman"/>
                <w:sz w:val="18"/>
              </w:rPr>
              <w:t>Interdisciplinary service centres expanding</w:t>
            </w:r>
          </w:p>
        </w:tc>
        <w:tc>
          <w:tcPr>
            <w:tcW w:type="dxa" w:w="1805"/>
          </w:tcPr>
          <w:p>
            <w:pPr>
              <w:spacing w:line="240" w:lineRule="auto" w:before="40" w:after="40"/>
            </w:pPr>
            <w:r>
              <w:rPr>
                <w:rFonts w:eastAsia="SimSun" w:ascii="Times New Roman" w:hAnsi="Times New Roman" w:cs="Times New Roman"/>
                <w:sz w:val="18"/>
              </w:rPr>
              <w:t>Strong school–community–transition network</w:t>
            </w:r>
          </w:p>
        </w:tc>
        <w:tc>
          <w:tcPr>
            <w:tcW w:type="dxa" w:w="1806"/>
          </w:tcPr>
          <w:p>
            <w:pPr>
              <w:spacing w:line="240" w:lineRule="auto" w:before="40" w:after="40"/>
            </w:pPr>
            <w:r>
              <w:rPr>
                <w:rFonts w:eastAsia="SimSun" w:ascii="Times New Roman" w:hAnsi="Times New Roman" w:cs="Times New Roman"/>
                <w:sz w:val="18"/>
              </w:rPr>
              <w:t>Each has different break points</w:t>
            </w:r>
          </w:p>
        </w:tc>
      </w:tr>
      <w:tr>
        <w:tc>
          <w:tcPr>
            <w:tcW w:type="dxa" w:w="1805"/>
          </w:tcPr>
          <w:p>
            <w:pPr>
              <w:spacing w:line="240" w:lineRule="auto" w:before="40" w:after="40"/>
            </w:pPr>
            <w:r>
              <w:rPr>
                <w:rFonts w:eastAsia="SimSun" w:ascii="Times New Roman" w:hAnsi="Times New Roman" w:cs="Times New Roman"/>
                <w:sz w:val="18"/>
              </w:rPr>
              <w:t>Technological advantage</w:t>
            </w:r>
          </w:p>
        </w:tc>
        <w:tc>
          <w:tcPr>
            <w:tcW w:type="dxa" w:w="1805"/>
          </w:tcPr>
          <w:p>
            <w:pPr>
              <w:spacing w:line="240" w:lineRule="auto" w:before="40" w:after="40"/>
            </w:pPr>
            <w:r>
              <w:rPr>
                <w:rFonts w:eastAsia="SimSun" w:ascii="Times New Roman" w:hAnsi="Times New Roman" w:cs="Times New Roman"/>
                <w:sz w:val="18"/>
              </w:rPr>
              <w:t>Cloud-based instruction delivery, regional platforms</w:t>
            </w:r>
          </w:p>
        </w:tc>
        <w:tc>
          <w:tcPr>
            <w:tcW w:type="dxa" w:w="1805"/>
          </w:tcPr>
          <w:p>
            <w:pPr>
              <w:spacing w:line="240" w:lineRule="auto" w:before="40" w:after="40"/>
            </w:pPr>
            <w:r>
              <w:rPr>
                <w:rFonts w:eastAsia="SimSun" w:ascii="Times New Roman" w:hAnsi="Times New Roman" w:cs="Times New Roman"/>
                <w:sz w:val="18"/>
              </w:rPr>
              <w:t>3PK remote outreach potential</w:t>
            </w:r>
          </w:p>
        </w:tc>
        <w:tc>
          <w:tcPr>
            <w:tcW w:type="dxa" w:w="1805"/>
          </w:tcPr>
          <w:p>
            <w:pPr>
              <w:spacing w:line="240" w:lineRule="auto" w:before="40" w:after="40"/>
            </w:pPr>
            <w:r>
              <w:rPr>
                <w:rFonts w:eastAsia="SimSun" w:ascii="Times New Roman" w:hAnsi="Times New Roman" w:cs="Times New Roman"/>
                <w:sz w:val="18"/>
              </w:rPr>
              <w:t>Digital school ecosystem</w:t>
            </w:r>
          </w:p>
        </w:tc>
        <w:tc>
          <w:tcPr>
            <w:tcW w:type="dxa" w:w="1806"/>
          </w:tcPr>
          <w:p>
            <w:pPr>
              <w:spacing w:line="240" w:lineRule="auto" w:before="40" w:after="40"/>
            </w:pPr>
            <w:r>
              <w:rPr>
                <w:rFonts w:eastAsia="SimSun" w:ascii="Times New Roman" w:hAnsi="Times New Roman" w:cs="Times New Roman"/>
                <w:sz w:val="18"/>
              </w:rPr>
              <w:t>Input scale should not be compared simplistically</w:t>
            </w:r>
          </w:p>
        </w:tc>
      </w:tr>
      <w:tr>
        <w:tc>
          <w:tcPr>
            <w:tcW w:type="dxa" w:w="1805"/>
          </w:tcPr>
          <w:p>
            <w:pPr>
              <w:spacing w:line="240" w:lineRule="auto" w:before="40" w:after="40"/>
            </w:pPr>
            <w:r>
              <w:rPr>
                <w:rFonts w:eastAsia="SimSun" w:ascii="Times New Roman" w:hAnsi="Times New Roman" w:cs="Times New Roman"/>
                <w:sz w:val="18"/>
              </w:rPr>
              <w:t>Principal bottleneck</w:t>
            </w:r>
          </w:p>
        </w:tc>
        <w:tc>
          <w:tcPr>
            <w:tcW w:type="dxa" w:w="1805"/>
          </w:tcPr>
          <w:p>
            <w:pPr>
              <w:spacing w:line="240" w:lineRule="auto" w:before="40" w:after="40"/>
            </w:pPr>
            <w:r>
              <w:rPr>
                <w:rFonts w:eastAsia="SimSun" w:ascii="Times New Roman" w:hAnsi="Times New Roman" w:cs="Times New Roman"/>
                <w:sz w:val="18"/>
              </w:rPr>
              <w:t>Uneven local implementation; insufficient data</w:t>
            </w:r>
          </w:p>
        </w:tc>
        <w:tc>
          <w:tcPr>
            <w:tcW w:type="dxa" w:w="1805"/>
          </w:tcPr>
          <w:p>
            <w:pPr>
              <w:spacing w:line="240" w:lineRule="auto" w:before="40" w:after="40"/>
            </w:pPr>
            <w:r>
              <w:rPr>
                <w:rFonts w:eastAsia="SimSun" w:ascii="Times New Roman" w:hAnsi="Times New Roman" w:cs="Times New Roman"/>
                <w:sz w:val="18"/>
              </w:rPr>
              <w:t>Uneven federal–state distribution; East Malaysia accessibility</w:t>
            </w:r>
          </w:p>
        </w:tc>
        <w:tc>
          <w:tcPr>
            <w:tcW w:type="dxa" w:w="1805"/>
          </w:tcPr>
          <w:p>
            <w:pPr>
              <w:spacing w:line="240" w:lineRule="auto" w:before="40" w:after="40"/>
            </w:pPr>
            <w:r>
              <w:rPr>
                <w:rFonts w:eastAsia="SimSun" w:ascii="Times New Roman" w:hAnsi="Times New Roman" w:cs="Times New Roman"/>
                <w:sz w:val="18"/>
              </w:rPr>
              <w:t>Role boundaries and indicator pressure</w:t>
            </w:r>
          </w:p>
        </w:tc>
        <w:tc>
          <w:tcPr>
            <w:tcW w:type="dxa" w:w="1806"/>
          </w:tcPr>
          <w:p>
            <w:pPr>
              <w:spacing w:line="240" w:lineRule="auto" w:before="40" w:after="40"/>
            </w:pPr>
            <w:r>
              <w:rPr>
                <w:rFonts w:eastAsia="SimSun" w:ascii="Times New Roman" w:hAnsi="Times New Roman" w:cs="Times New Roman"/>
                <w:sz w:val="18"/>
              </w:rPr>
              <w:t>Bottlenecks differ in kind, not in degree</w:t>
            </w:r>
          </w:p>
        </w:tc>
      </w:tr>
    </w:tbl>
    <w:p>
      <w:pPr>
        <w:spacing w:line="240" w:lineRule="auto"/>
      </w:pPr>
      <w:r>
        <w:rPr>
          <w:sz w:val="12"/>
        </w:rPr>
      </w:r>
    </w:p>
    <w:p>
      <w:pPr>
        <w:pStyle w:val="Heading2"/>
      </w:pPr>
      <w:r>
        <w:rPr>
          <w:rFonts w:ascii="Times New Roman" w:hAnsi="Times New Roman" w:eastAsia="SimSun"/>
        </w:rPr>
        <w:t>11.3 Operational Recommendations for Mutual Learning</w:t>
      </w:r>
    </w:p>
    <w:p>
      <w:pPr>
        <w:spacing w:line="480" w:lineRule="auto" w:before="0" w:after="0"/>
        <w:ind w:firstLine="720"/>
      </w:pPr>
      <w:r>
        <w:rPr>
          <w:rFonts w:ascii="Times New Roman" w:hAnsi="Times New Roman" w:eastAsia="SimSun"/>
          <w:b/>
          <w:i w:val="0"/>
          <w:sz w:val="24"/>
        </w:rPr>
        <w:t>For China: draw on Singapore's case-escalation and adult transition mechanisms, and on Malaysia's interdisciplinary service-centre thinking.</w:t>
      </w:r>
      <w:r>
        <w:rPr>
          <w:rFonts w:ascii="Times New Roman" w:hAnsi="Times New Roman" w:eastAsia="SimSun"/>
          <w:b w:val="0"/>
          <w:i w:val="0"/>
          <w:sz w:val="24"/>
        </w:rPr>
        <w:t xml:space="preserve"> China already has resource centres and an itinerant network. The next step should not be to increase the number of "person-visits" but to establish a clear four-tier response: universal strategies by mainstream teachers; in-school support by resource teachers; regional supervision by itinerant teachers; and referral to medical, rehabilitation, and psychological specialists. For students with high needs, goals for further education, employment, independent living, and social participation should be incorporated into individualised plans earlier. The </w:t>
      </w:r>
      <w:r>
        <w:rPr>
          <w:rFonts w:ascii="Times New Roman" w:hAnsi="Times New Roman" w:eastAsia="SimSun"/>
          <w:b/>
          <w:i w:val="0"/>
          <w:sz w:val="24"/>
        </w:rPr>
        <w:t>precondition</w:t>
      </w:r>
      <w:r>
        <w:rPr>
          <w:rFonts w:ascii="Times New Roman" w:hAnsi="Times New Roman" w:eastAsia="SimSun"/>
          <w:b w:val="0"/>
          <w:i w:val="0"/>
          <w:sz w:val="24"/>
        </w:rPr>
        <w:t xml:space="preserve"> is safeguarding data permissions and continuity of cross-agency responsibility; the </w:t>
      </w:r>
      <w:r>
        <w:rPr>
          <w:rFonts w:ascii="Times New Roman" w:hAnsi="Times New Roman" w:eastAsia="SimSun"/>
          <w:b/>
          <w:i w:val="0"/>
          <w:sz w:val="24"/>
        </w:rPr>
        <w:t>risk</w:t>
      </w:r>
      <w:r>
        <w:rPr>
          <w:rFonts w:ascii="Times New Roman" w:hAnsi="Times New Roman" w:eastAsia="SimSun"/>
          <w:b w:val="0"/>
          <w:i w:val="0"/>
          <w:sz w:val="24"/>
        </w:rPr>
        <w:t xml:space="preserve"> is pushing adult employment indicators down into the compulsory education stage too early.</w:t>
      </w:r>
    </w:p>
    <w:p>
      <w:pPr>
        <w:spacing w:line="480" w:lineRule="auto" w:before="0" w:after="0"/>
        <w:ind w:firstLine="720"/>
      </w:pPr>
      <w:r>
        <w:rPr>
          <w:rFonts w:ascii="Times New Roman" w:hAnsi="Times New Roman" w:eastAsia="SimSun"/>
          <w:b/>
          <w:i w:val="0"/>
          <w:sz w:val="24"/>
        </w:rPr>
        <w:t>For Malaysia: draw on China's three-tier quality chain of "county resource centre–itinerant guidance–school," and on Singapore's explicit service tiering.</w:t>
      </w:r>
      <w:r>
        <w:rPr>
          <w:rFonts w:ascii="Times New Roman" w:hAnsi="Times New Roman" w:eastAsia="SimSun"/>
          <w:b w:val="0"/>
          <w:i w:val="0"/>
          <w:sz w:val="24"/>
        </w:rPr>
        <w:t xml:space="preserve"> In school-dense states such as Penang and Selangor, regional 3PK itinerant teams could be established first. Sabah and Sarawak could adopt a hybrid model of "centre-based stationing plus periodic visits plus remote supervision," with multilingual materials and parent communication plans for national schools, Chinese-medium primary schools, and Tamil-medium primary schools. The </w:t>
      </w:r>
      <w:r>
        <w:rPr>
          <w:rFonts w:ascii="Times New Roman" w:hAnsi="Times New Roman" w:eastAsia="SimSun"/>
          <w:b/>
          <w:i w:val="0"/>
          <w:sz w:val="24"/>
        </w:rPr>
        <w:t>precondition</w:t>
      </w:r>
      <w:r>
        <w:rPr>
          <w:rFonts w:ascii="Times New Roman" w:hAnsi="Times New Roman" w:eastAsia="SimSun"/>
          <w:b w:val="0"/>
          <w:i w:val="0"/>
          <w:sz w:val="24"/>
        </w:rPr>
        <w:t xml:space="preserve"> is first giving 3PK clear budgets, transport, scheduling, and case ceilings; the </w:t>
      </w:r>
      <w:r>
        <w:rPr>
          <w:rFonts w:ascii="Times New Roman" w:hAnsi="Times New Roman" w:eastAsia="SimSun"/>
          <w:b/>
          <w:i w:val="0"/>
          <w:sz w:val="24"/>
        </w:rPr>
        <w:t>risk</w:t>
      </w:r>
      <w:r>
        <w:rPr>
          <w:rFonts w:ascii="Times New Roman" w:hAnsi="Times New Roman" w:eastAsia="SimSun"/>
          <w:b w:val="0"/>
          <w:i w:val="0"/>
          <w:sz w:val="24"/>
        </w:rPr>
        <w:t xml:space="preserve"> is imposing a uniform urban model on East Malaysia.</w:t>
      </w:r>
    </w:p>
    <w:p>
      <w:pPr>
        <w:spacing w:line="480" w:lineRule="auto" w:before="0" w:after="0"/>
        <w:ind w:firstLine="720"/>
      </w:pPr>
      <w:r>
        <w:rPr>
          <w:rFonts w:ascii="Times New Roman" w:hAnsi="Times New Roman" w:eastAsia="SimSun"/>
          <w:b/>
          <w:i w:val="0"/>
          <w:sz w:val="24"/>
        </w:rPr>
        <w:t>For Singapore: draw on China's regional supervision and public quality evaluation framework, and on Malaysia's locally adapted support for multilingual families.</w:t>
      </w:r>
      <w:r>
        <w:rPr>
          <w:rFonts w:ascii="Times New Roman" w:hAnsi="Times New Roman" w:eastAsia="SimSun"/>
          <w:b w:val="0"/>
          <w:i w:val="0"/>
          <w:sz w:val="24"/>
        </w:rPr>
        <w:t xml:space="preserve"> China's </w:t>
      </w:r>
      <w:r>
        <w:rPr>
          <w:rFonts w:ascii="Times New Roman" w:hAnsi="Times New Roman" w:eastAsia="SimSun"/>
          <w:b w:val="0"/>
          <w:i/>
          <w:sz w:val="24"/>
        </w:rPr>
        <w:t>Guidelines for Quality Evaluation of Special Education Provision</w:t>
      </w:r>
      <w:r>
        <w:rPr>
          <w:rFonts w:ascii="Times New Roman" w:hAnsi="Times New Roman" w:eastAsia="SimSun"/>
          <w:b w:val="0"/>
          <w:i w:val="0"/>
          <w:sz w:val="24"/>
        </w:rPr>
        <w:t xml:space="preserve"> offer five categories of indicators—government responsibility, curriculum and instruction, teaching workforce, school management, and student development (MOE China, 2022a). Singapore could convert the work of AED(LBS) and school-based teams into outcome dimensions such as "student participation, teacher capacity, transition results, and family partnership," rather than counting students. The </w:t>
      </w:r>
      <w:r>
        <w:rPr>
          <w:rFonts w:ascii="Times New Roman" w:hAnsi="Times New Roman" w:eastAsia="SimSun"/>
          <w:b/>
          <w:i w:val="0"/>
          <w:sz w:val="24"/>
        </w:rPr>
        <w:t>risk</w:t>
      </w:r>
      <w:r>
        <w:rPr>
          <w:rFonts w:ascii="Times New Roman" w:hAnsi="Times New Roman" w:eastAsia="SimSun"/>
          <w:b w:val="0"/>
          <w:i w:val="0"/>
          <w:sz w:val="24"/>
        </w:rPr>
        <w:t xml:space="preserve"> is that over-standardisation weakens schools' flexible handling of complex cases.</w:t>
      </w:r>
    </w:p>
    <w:p>
      <w:pPr>
        <w:spacing w:line="480" w:lineRule="auto" w:before="0" w:after="0"/>
        <w:ind w:firstLine="720"/>
      </w:pPr>
      <w:r>
        <w:rPr>
          <w:rFonts w:ascii="Times New Roman" w:hAnsi="Times New Roman" w:eastAsia="SimSun"/>
          <w:b/>
          <w:i w:val="0"/>
          <w:sz w:val="24"/>
        </w:rPr>
        <w:t>A shared principle: the "post + platform + process + outcome" package.</w:t>
      </w:r>
      <w:r>
        <w:rPr>
          <w:rFonts w:ascii="Times New Roman" w:hAnsi="Times New Roman" w:eastAsia="SimSun"/>
          <w:b w:val="0"/>
          <w:i w:val="0"/>
          <w:sz w:val="24"/>
        </w:rPr>
        <w:t xml:space="preserve"> The post settles who is responsible; the platform settles how information and services are shared; the process settles continuity from identification, IEP/PPI, in-class/withdrawal support, and reassessment through to transition; the outcome settles student participation, learning function, social adaptation, teacher capacity, and family experience. Replicating only one element is insufficient: posts alone produce isolated teachers with no platform support; platforms alone produce "digital form-filling"; processes without specialist personnel become ritual; pursuing outcome indicators alone invites labelling and covert exclusion.</w:t>
      </w:r>
    </w:p>
    <w:p>
      <w:pPr>
        <w:pStyle w:val="Heading2"/>
      </w:pPr>
      <w:r>
        <w:rPr>
          <w:rFonts w:ascii="Times New Roman" w:hAnsi="Times New Roman" w:eastAsia="SimSun"/>
        </w:rPr>
        <w:t>11.4 Limitations</w:t>
      </w:r>
    </w:p>
    <w:p>
      <w:pPr>
        <w:spacing w:line="480" w:lineRule="auto" w:before="0" w:after="0"/>
        <w:ind w:firstLine="720"/>
      </w:pPr>
      <w:r>
        <w:rPr>
          <w:rFonts w:ascii="Times New Roman" w:hAnsi="Times New Roman" w:eastAsia="SimSun"/>
          <w:b w:val="0"/>
          <w:i w:val="0"/>
          <w:sz w:val="24"/>
        </w:rPr>
        <w:t>This study has four principal evidentiary limitations. First, the complete official text of KPM's provisions on Program Inklusif, 3PK, and itinerant teacher establishment was not obtained, so no affirmative conclusion on their national uniformity can be drawn. Second, the official text of MOE Singapore's latest provisions on the AED(LBS) and SEN officer posts, headcounts, training, and service standards was not obtained; comparison relies on authoritative reporting and institutional materials. Third, none of the three countries publishes fully comparable data on itinerant/mobile support teacher headcounts, service radii, caseloads, attrition rates, or student outcomes, so no rigorous quantitative cross-national performance comparison is possible. Fourth, this study is based mainly on 2020–2025 literature, relaxes the date restriction for foundational policies, and supplements with materials available up to September 2026; policies and web pages may have been updated, and citations should be checked against the latest versions issued by the competent authorities.</w:t>
      </w:r>
    </w:p>
    <w:p>
      <w:pPr>
        <w:pStyle w:val="Heading2"/>
      </w:pPr>
      <w:r>
        <w:rPr>
          <w:rFonts w:ascii="Times New Roman" w:hAnsi="Times New Roman" w:eastAsia="SimSun"/>
        </w:rPr>
        <w:t>11.5 Future Research Directions</w:t>
      </w:r>
    </w:p>
    <w:p>
      <w:pPr>
        <w:spacing w:line="480" w:lineRule="auto" w:before="0" w:after="0"/>
        <w:ind w:firstLine="720"/>
      </w:pPr>
      <w:r>
        <w:rPr>
          <w:rFonts w:ascii="Times New Roman" w:hAnsi="Times New Roman" w:eastAsia="SimSun"/>
          <w:b w:val="0"/>
          <w:i w:val="0"/>
          <w:sz w:val="24"/>
        </w:rPr>
        <w:t>Future work should adopt a shared logic model organised around "student outcomes (participation, communication, learning function, social adaptation), teacher professional learning, family experience, school inclusivity, and service cost and equity," and conduct three-country comparison within that unified framework. Methodologically, a mixed-design approach is advisable: select schools in urban, rural/island, and different language-stream or educational-pathway settings in each country; measure actual service time through post logs rather than administrative establishment; assess the quality of goals, strategies, and evidence using anonymised IEP/PPI instruments; and conduct implementation-science evaluation of remote services, reporting device accessibility, network stability, language adaptation, privacy, and data bias. Only with comparable longitudinal data can we judge whether "itinerant guidance" is genuinely a professional support system or merely an added layer of administration and travel.</w:t>
      </w:r>
    </w:p>
    <w:p>
      <w:pPr>
        <w:pStyle w:val="Heading1"/>
      </w:pPr>
      <w:r>
        <w:rPr>
          <w:rFonts w:ascii="Times New Roman" w:hAnsi="Times New Roman" w:eastAsia="SimSun"/>
        </w:rPr>
        <w:t>12. Conclusion</w:t>
      </w:r>
    </w:p>
    <w:p>
      <w:pPr>
        <w:spacing w:line="480" w:lineRule="auto" w:before="0" w:after="0"/>
        <w:ind w:firstLine="720"/>
      </w:pPr>
      <w:r>
        <w:rPr>
          <w:rFonts w:ascii="Times New Roman" w:hAnsi="Times New Roman" w:eastAsia="SimSun"/>
          <w:b w:val="0"/>
          <w:i w:val="0"/>
          <w:sz w:val="24"/>
        </w:rPr>
        <w:t xml:space="preserve">First, the common essence of "mobile support" in the three systems is not frequent travel but </w:t>
      </w:r>
      <w:r>
        <w:rPr>
          <w:rFonts w:ascii="Times New Roman" w:hAnsi="Times New Roman" w:eastAsia="SimSun"/>
          <w:b/>
          <w:i w:val="0"/>
          <w:sz w:val="24"/>
        </w:rPr>
        <w:t>bringing professional expertise into the mainstream classroom</w:t>
      </w:r>
      <w:r>
        <w:rPr>
          <w:rFonts w:ascii="Times New Roman" w:hAnsi="Times New Roman" w:eastAsia="SimSun"/>
          <w:b w:val="0"/>
          <w:i w:val="0"/>
          <w:sz w:val="24"/>
        </w:rPr>
        <w:t>. The difference lies in how that expertise moves: China relies more on cross-school itinerancy from resource centres; Malaysia is extending from PPKI/3PK toward regular-class support; Singapore mainly embeds support in schools and service networks. Job titles are not the standard for judging institutional effectiveness; whether support stably enters classrooms, is mastered by mainstream teachers, and advances student goals is.</w:t>
      </w:r>
    </w:p>
    <w:p>
      <w:pPr>
        <w:spacing w:line="480" w:lineRule="auto" w:before="0" w:after="0"/>
        <w:ind w:firstLine="720"/>
      </w:pPr>
      <w:r>
        <w:rPr>
          <w:rFonts w:ascii="Times New Roman" w:hAnsi="Times New Roman" w:eastAsia="SimSun"/>
          <w:b w:val="0"/>
          <w:i w:val="0"/>
          <w:sz w:val="24"/>
        </w:rPr>
        <w:t>Second, China's institutional strength is a clear chain of responsibility, and its next bottleneck is professionalisation, affordability, and regional equity. County expert committees, resource centres, resource teachers, itinerant teachers, the "one student, one plan," multi-department collaboration, and quality evaluation already form a complete policy framework. At the national level, however, there are no uniformly published data on itinerant teacher numbers, student–teacher ratios, service radii, transport funding, training completion rates, or case outcomes. Quality improvement therefore cannot be inferred merely from "a resource centre has been established" or "itinerant guidance is being delivered."</w:t>
      </w:r>
    </w:p>
    <w:p>
      <w:pPr>
        <w:spacing w:line="480" w:lineRule="auto" w:before="0" w:after="0"/>
        <w:ind w:firstLine="720"/>
      </w:pPr>
      <w:r>
        <w:rPr>
          <w:rFonts w:ascii="Times New Roman" w:hAnsi="Times New Roman" w:eastAsia="SimSun"/>
          <w:b w:val="0"/>
          <w:i w:val="0"/>
          <w:sz w:val="24"/>
        </w:rPr>
        <w:t>Third, Malaysia must not reduce Program Inklusif to placing MBK/OKU students into regular classes, nor treat 3PK as an all-purpose itinerant corps. Available evidence better supports an analytical frame of "school-based Guru Pendidikan Khas plus regional service-centre outreach." Geographic distance in East Malaysia, multilingual education, and sparse professional services call for a hybrid model of "stationing plus periodic on-site visits plus remote supervision."</w:t>
      </w:r>
    </w:p>
    <w:p>
      <w:pPr>
        <w:spacing w:line="480" w:lineRule="auto" w:before="0" w:after="0"/>
        <w:ind w:firstLine="720"/>
      </w:pPr>
      <w:r>
        <w:rPr>
          <w:rFonts w:ascii="Times New Roman" w:hAnsi="Times New Roman" w:eastAsia="SimSun"/>
          <w:b w:val="0"/>
          <w:i w:val="0"/>
          <w:sz w:val="24"/>
        </w:rPr>
        <w:t>Fourth, Singapore's key lesson is not the AED(LBS) post itself but the transition network among MOE, SPED, psychological services, SG Enable, and social service agencies. For a small territory with high school density, cross-school travel is not the primary bottleneck; whether information and professional services reach schools promptly, and whether students transition smoothly into higher education, training, and employment, matter more. The adult-outcome orientation of Enabling Masterplan 2030 is worth borrowing, but the education stage should not be driven by a single employment indicator.</w:t>
      </w:r>
    </w:p>
    <w:p>
      <w:pPr>
        <w:spacing w:line="480" w:lineRule="auto" w:before="0" w:after="0"/>
        <w:ind w:firstLine="720"/>
      </w:pPr>
      <w:r>
        <w:rPr>
          <w:rFonts w:ascii="Times New Roman" w:hAnsi="Times New Roman" w:eastAsia="SimSun"/>
          <w:b w:val="0"/>
          <w:i w:val="0"/>
          <w:sz w:val="24"/>
        </w:rPr>
        <w:t>Fifth, remote support can improve accessibility but must not be used as a reason to cut specialist personnel. Chinese cases of cloud-based instruction delivery show that government leadership combined with school–family–rehabilitation agency collaboration can support students with severe disabilities; Malaysian pandemic-era policy likewise shows that online provision can only supplement, not replace, face-to-face support. Artificial intelligence can reduce teachers' documentation and resource-generation burden, but it must be subject to joint oversight by teachers, parents, students, and professionals. Technology investment should first resolve connectivity, devices, digital competence, and data governance, and only then scale platforms and AI applications.</w:t>
      </w:r>
    </w:p>
    <w:p>
      <w:pPr>
        <w:pStyle w:val="Heading1"/>
      </w:pPr>
      <w:r>
        <w:rPr>
          <w:rFonts w:ascii="Times New Roman" w:hAnsi="Times New Roman" w:eastAsia="SimSun"/>
        </w:rPr>
        <w:t>References</w:t>
      </w:r>
    </w:p>
    <w:p>
      <w:pPr>
        <w:spacing w:line="360" w:lineRule="auto" w:before="0" w:after="240"/>
      </w:pPr>
      <w:r>
        <w:rPr>
          <w:rFonts w:ascii="Times New Roman" w:hAnsi="Times New Roman" w:eastAsia="SimSun"/>
          <w:b w:val="0"/>
          <w:i/>
          <w:sz w:val="21"/>
        </w:rPr>
        <w:t>Note: Entries follow APA 7th edition format. Latin-alphabet entries are ordered alphabetically by author; entries for works in Chinese follow, ordered by the romanised author name. Titles of Chinese-language works are given in the original script with an English translation supplied in square brackets.</w:t>
      </w:r>
    </w:p>
    <w:p>
      <w:pPr>
        <w:spacing w:line="480" w:lineRule="auto" w:before="0" w:after="0"/>
        <w:ind w:hanging="720" w:left="720"/>
      </w:pPr>
      <w:r>
        <w:rPr>
          <w:rFonts w:ascii="Times New Roman" w:hAnsi="Times New Roman" w:eastAsia="SimSun"/>
          <w:b w:val="0"/>
          <w:i w:val="0"/>
          <w:sz w:val="24"/>
        </w:rPr>
        <w:t xml:space="preserve">Chen, Y., Zhou, Z., Cao, M., Liu, M., Lin, Z., Yang, W., Yang, X., Dhaidhai, D., &amp; Xiong, P. (2022). Extended reality (XR) and telehealth interventions for children or adolescents with autism spectrum disorder: Systematic review of qualitative and quantitative studies. </w:t>
      </w:r>
      <w:r>
        <w:rPr>
          <w:rFonts w:ascii="Times New Roman" w:hAnsi="Times New Roman" w:eastAsia="SimSun"/>
          <w:b w:val="0"/>
          <w:i/>
          <w:sz w:val="24"/>
        </w:rPr>
        <w:t>Neuroscience &amp; Biobehavioral Reviews, 140</w:t>
      </w:r>
      <w:r>
        <w:rPr>
          <w:rFonts w:ascii="Times New Roman" w:hAnsi="Times New Roman" w:eastAsia="SimSun"/>
          <w:b w:val="0"/>
          <w:i w:val="0"/>
          <w:sz w:val="24"/>
        </w:rPr>
        <w:t>, 104683. https://doi.org/10.1016/j.neubiorev.2022.104683</w:t>
      </w:r>
    </w:p>
    <w:p>
      <w:pPr>
        <w:spacing w:line="480" w:lineRule="auto" w:before="0" w:after="0"/>
        <w:ind w:hanging="720" w:left="720"/>
      </w:pPr>
      <w:r>
        <w:rPr>
          <w:rFonts w:ascii="Times New Roman" w:hAnsi="Times New Roman" w:eastAsia="SimSun"/>
          <w:b w:val="0"/>
          <w:i w:val="0"/>
          <w:sz w:val="24"/>
        </w:rPr>
        <w:t xml:space="preserve">Changsha Education Bureau. (2023). </w:t>
      </w:r>
      <w:r>
        <w:rPr>
          <w:rFonts w:ascii="Times New Roman" w:hAnsi="Times New Roman" w:eastAsia="SimSun"/>
          <w:b w:val="0"/>
          <w:i/>
          <w:sz w:val="24"/>
        </w:rPr>
        <w:t>Reply of the Changsha Municipal Education Bureau to Proposal No. 125 of the First Session of the 16th Changsha Municipal People's Congress</w:t>
      </w:r>
      <w:r>
        <w:rPr>
          <w:rFonts w:ascii="Times New Roman" w:hAnsi="Times New Roman" w:eastAsia="SimSun"/>
          <w:b w:val="0"/>
          <w:i w:val="0"/>
          <w:sz w:val="24"/>
        </w:rPr>
        <w:t>. http://jyj.changsha.gov.cn/zfxxgk/fdzdgk/jyhtabl/rdjy/gkxx/202305/t20230517_11098284.html</w:t>
      </w:r>
    </w:p>
    <w:p>
      <w:pPr>
        <w:spacing w:line="480" w:lineRule="auto" w:before="0" w:after="0"/>
        <w:ind w:hanging="720" w:left="720"/>
      </w:pPr>
      <w:r>
        <w:rPr>
          <w:rFonts w:ascii="Times New Roman" w:hAnsi="Times New Roman" w:eastAsia="SimSun"/>
          <w:b w:val="0"/>
          <w:i w:val="0"/>
          <w:sz w:val="24"/>
        </w:rPr>
        <w:t xml:space="preserve">China Education Daily. (2020, November 13). </w:t>
      </w:r>
      <w:r>
        <w:rPr>
          <w:rFonts w:ascii="Times New Roman" w:hAnsi="Times New Roman" w:eastAsia="SimSun"/>
          <w:b w:val="0"/>
          <w:i/>
          <w:sz w:val="24"/>
        </w:rPr>
        <w:t>How teachers can prepare for inclusive education</w:t>
      </w:r>
      <w:r>
        <w:rPr>
          <w:rFonts w:ascii="Times New Roman" w:hAnsi="Times New Roman" w:eastAsia="SimSun"/>
          <w:b w:val="0"/>
          <w:i w:val="0"/>
          <w:sz w:val="24"/>
        </w:rPr>
        <w:t>. http://www.jyb.cn/rmtzgjyb/202011/t20201113_373141.html</w:t>
      </w:r>
    </w:p>
    <w:p>
      <w:pPr>
        <w:spacing w:line="480" w:lineRule="auto" w:before="0" w:after="0"/>
        <w:ind w:hanging="720" w:left="720"/>
      </w:pPr>
      <w:r>
        <w:rPr>
          <w:rFonts w:ascii="Times New Roman" w:hAnsi="Times New Roman" w:eastAsia="SimSun"/>
          <w:b w:val="0"/>
          <w:i w:val="0"/>
          <w:sz w:val="24"/>
        </w:rPr>
        <w:t xml:space="preserve">China Education Daily. (2022, September 20). </w:t>
      </w:r>
      <w:r>
        <w:rPr>
          <w:rFonts w:ascii="Times New Roman" w:hAnsi="Times New Roman" w:eastAsia="SimSun"/>
          <w:b w:val="0"/>
          <w:i/>
          <w:sz w:val="24"/>
        </w:rPr>
        <w:t>How they help students with "learning difficulties."</w:t>
      </w:r>
      <w:r>
        <w:rPr>
          <w:rFonts w:ascii="Times New Roman" w:hAnsi="Times New Roman" w:eastAsia="SimSun"/>
          <w:b w:val="0"/>
          <w:i w:val="0"/>
          <w:sz w:val="24"/>
        </w:rPr>
        <w:t xml:space="preserve"> http://www.jyb.cn/rmtzgjsb/202209/t20220920_2110948902.html</w:t>
      </w:r>
    </w:p>
    <w:p>
      <w:pPr>
        <w:spacing w:line="480" w:lineRule="auto" w:before="0" w:after="0"/>
        <w:ind w:hanging="720" w:left="720"/>
      </w:pPr>
      <w:r>
        <w:rPr>
          <w:rFonts w:ascii="Times New Roman" w:hAnsi="Times New Roman" w:eastAsia="SimSun"/>
          <w:b w:val="0"/>
          <w:i w:val="0"/>
          <w:sz w:val="24"/>
        </w:rPr>
        <w:t xml:space="preserve">China Education Daily. (2025, April 21). </w:t>
      </w:r>
      <w:r>
        <w:rPr>
          <w:rFonts w:ascii="Times New Roman" w:hAnsi="Times New Roman" w:eastAsia="SimSun"/>
          <w:b w:val="0"/>
          <w:i/>
          <w:sz w:val="24"/>
        </w:rPr>
        <w:t>Malaysia issues the 2025 operational guidelines for special education service centres</w:t>
      </w:r>
      <w:r>
        <w:rPr>
          <w:rFonts w:ascii="Times New Roman" w:hAnsi="Times New Roman" w:eastAsia="SimSun"/>
          <w:b w:val="0"/>
          <w:i w:val="0"/>
          <w:sz w:val="24"/>
        </w:rPr>
        <w:t>. https://www.jyb.cn/rmtzgjyb/202504/t20250421_2111332657.html</w:t>
      </w:r>
    </w:p>
    <w:p>
      <w:pPr>
        <w:spacing w:line="480" w:lineRule="auto" w:before="0" w:after="0"/>
        <w:ind w:hanging="720" w:left="720"/>
      </w:pPr>
      <w:r>
        <w:rPr>
          <w:rFonts w:ascii="Times New Roman" w:hAnsi="Times New Roman" w:eastAsia="SimSun"/>
          <w:b w:val="0"/>
          <w:i w:val="0"/>
          <w:sz w:val="24"/>
        </w:rPr>
        <w:t xml:space="preserve">China Education News Network. (2022, September 20). </w:t>
      </w:r>
      <w:r>
        <w:rPr>
          <w:rFonts w:ascii="Times New Roman" w:hAnsi="Times New Roman" w:eastAsia="SimSun"/>
          <w:b w:val="0"/>
          <w:i/>
          <w:sz w:val="24"/>
        </w:rPr>
        <w:t>Singapore strengthens its support system for special education teachers</w:t>
      </w:r>
      <w:r>
        <w:rPr>
          <w:rFonts w:ascii="Times New Roman" w:hAnsi="Times New Roman" w:eastAsia="SimSun"/>
          <w:b w:val="0"/>
          <w:i w:val="0"/>
          <w:sz w:val="24"/>
        </w:rPr>
        <w:t>. http://www.jyb.cn/rmtzgjyb/202209/t20220920_2110948902.html</w:t>
      </w:r>
    </w:p>
    <w:p>
      <w:pPr>
        <w:spacing w:line="480" w:lineRule="auto" w:before="0" w:after="0"/>
        <w:ind w:hanging="720" w:left="720"/>
      </w:pPr>
      <w:r>
        <w:rPr>
          <w:rFonts w:ascii="Times New Roman" w:hAnsi="Times New Roman" w:eastAsia="SimSun"/>
          <w:b w:val="0"/>
          <w:i w:val="0"/>
          <w:sz w:val="24"/>
        </w:rPr>
        <w:t xml:space="preserve">Feng, X. (2024). </w:t>
      </w:r>
      <w:r>
        <w:rPr>
          <w:rFonts w:ascii="Times New Roman" w:hAnsi="Times New Roman" w:eastAsia="SimSun"/>
          <w:b w:val="0"/>
          <w:i/>
          <w:sz w:val="24"/>
        </w:rPr>
        <w:t>融合教育背景下巡回指导教师实践性知识的质性研究</w:t>
      </w:r>
      <w:r>
        <w:rPr>
          <w:rFonts w:ascii="Times New Roman" w:hAnsi="Times New Roman" w:eastAsia="SimSun"/>
          <w:b w:val="0"/>
          <w:i w:val="0"/>
          <w:sz w:val="24"/>
        </w:rPr>
        <w:t xml:space="preserve"> [Practical knowledge of itinerant guidance teachers in the context of inclusive education: A qualitative study] (In Chinese). </w:t>
      </w:r>
      <w:r>
        <w:rPr>
          <w:rFonts w:ascii="Times New Roman" w:hAnsi="Times New Roman" w:eastAsia="SimSun"/>
          <w:b w:val="0"/>
          <w:i/>
          <w:sz w:val="24"/>
        </w:rPr>
        <w:t>Modern Special Education</w:t>
      </w:r>
      <w:r>
        <w:rPr>
          <w:rFonts w:ascii="Times New Roman" w:hAnsi="Times New Roman" w:eastAsia="SimSun"/>
          <w:b w:val="0"/>
          <w:i w:val="0"/>
          <w:sz w:val="24"/>
        </w:rPr>
        <w:t>, (18). https://www.cnki.com.cn/Article/CJFDTotal-XDTS202220009.htm</w:t>
      </w:r>
    </w:p>
    <w:p>
      <w:pPr>
        <w:spacing w:line="480" w:lineRule="auto" w:before="0" w:after="0"/>
        <w:ind w:hanging="720" w:left="720"/>
      </w:pPr>
      <w:r>
        <w:rPr>
          <w:rFonts w:ascii="Times New Roman" w:hAnsi="Times New Roman" w:eastAsia="SimSun"/>
          <w:b w:val="0"/>
          <w:i w:val="0"/>
          <w:sz w:val="24"/>
        </w:rPr>
        <w:t xml:space="preserve">Fujian Provincial People's Government. (2025, February 24). </w:t>
      </w:r>
      <w:r>
        <w:rPr>
          <w:rFonts w:ascii="Times New Roman" w:hAnsi="Times New Roman" w:eastAsia="SimSun"/>
          <w:b w:val="0"/>
          <w:i/>
          <w:sz w:val="24"/>
        </w:rPr>
        <w:t>Home-delivered instruction supports "children with broken wings."</w:t>
      </w:r>
      <w:r>
        <w:rPr>
          <w:rFonts w:ascii="Times New Roman" w:hAnsi="Times New Roman" w:eastAsia="SimSun"/>
          <w:b w:val="0"/>
          <w:i w:val="0"/>
          <w:sz w:val="24"/>
        </w:rPr>
        <w:t xml:space="preserve"> https://www.fujian.gov.cn/xwdt/mszx/202502/t20250224_6767082.htm</w:t>
      </w:r>
    </w:p>
    <w:p>
      <w:pPr>
        <w:spacing w:line="480" w:lineRule="auto" w:before="0" w:after="0"/>
        <w:ind w:hanging="720" w:left="720"/>
      </w:pPr>
      <w:r>
        <w:rPr>
          <w:rFonts w:ascii="Times New Roman" w:hAnsi="Times New Roman" w:eastAsia="SimSun"/>
          <w:b w:val="0"/>
          <w:i w:val="0"/>
          <w:sz w:val="24"/>
        </w:rPr>
        <w:t xml:space="preserve">Fujian Provincial People's Government. (2026, June 29). </w:t>
      </w:r>
      <w:r>
        <w:rPr>
          <w:rFonts w:ascii="Times New Roman" w:hAnsi="Times New Roman" w:eastAsia="SimSun"/>
          <w:b w:val="0"/>
          <w:i/>
          <w:sz w:val="24"/>
        </w:rPr>
        <w:t>First China–Malaysia cloud-based special education delivery cooperation project launched</w:t>
      </w:r>
      <w:r>
        <w:rPr>
          <w:rFonts w:ascii="Times New Roman" w:hAnsi="Times New Roman" w:eastAsia="SimSun"/>
          <w:b w:val="0"/>
          <w:i w:val="0"/>
          <w:sz w:val="24"/>
        </w:rPr>
        <w:t>. https://www.fj.gov.cn/zwgk/ztzl/gjcjgxgg/xld/202606/t20260629_7168783.htm</w:t>
      </w:r>
    </w:p>
    <w:p>
      <w:pPr>
        <w:spacing w:line="480" w:lineRule="auto" w:before="0" w:after="0"/>
        <w:ind w:hanging="720" w:left="720"/>
      </w:pPr>
      <w:r>
        <w:rPr>
          <w:rFonts w:ascii="Times New Roman" w:hAnsi="Times New Roman" w:eastAsia="SimSun"/>
          <w:b w:val="0"/>
          <w:i w:val="0"/>
          <w:sz w:val="24"/>
        </w:rPr>
        <w:t xml:space="preserve">Hugo Arias-Flores, H., Valencia-Aragon, K., Calle-Jimenez, T., &amp; Sanchez-Gordon, S. (2025). Artificial intelligence and assistive technologies: A systematic review of educational applications for disabilities. In </w:t>
      </w:r>
      <w:r>
        <w:rPr>
          <w:rFonts w:ascii="Times New Roman" w:hAnsi="Times New Roman" w:eastAsia="SimSun"/>
          <w:b w:val="0"/>
          <w:i/>
          <w:sz w:val="24"/>
        </w:rPr>
        <w:t>Universal Access in Human-Computer Interaction</w:t>
      </w:r>
      <w:r>
        <w:rPr>
          <w:rFonts w:ascii="Times New Roman" w:hAnsi="Times New Roman" w:eastAsia="SimSun"/>
          <w:b w:val="0"/>
          <w:i w:val="0"/>
          <w:sz w:val="24"/>
        </w:rPr>
        <w:t xml:space="preserve"> (pp. 283–292). Springer. https://doi.org/10.1007/978-3-031-93848-1_19</w:t>
      </w:r>
    </w:p>
    <w:p>
      <w:pPr>
        <w:spacing w:line="480" w:lineRule="auto" w:before="0" w:after="0"/>
        <w:ind w:hanging="720" w:left="720"/>
      </w:pPr>
      <w:r>
        <w:rPr>
          <w:rFonts w:ascii="Times New Roman" w:hAnsi="Times New Roman" w:eastAsia="SimSun"/>
          <w:b w:val="0"/>
          <w:i w:val="0"/>
          <w:sz w:val="24"/>
        </w:rPr>
        <w:t xml:space="preserve">Ministry of Education, Singapore. (2020, October 5). </w:t>
      </w:r>
      <w:r>
        <w:rPr>
          <w:rFonts w:ascii="Times New Roman" w:hAnsi="Times New Roman" w:eastAsia="SimSun"/>
          <w:b w:val="0"/>
          <w:i/>
          <w:sz w:val="24"/>
        </w:rPr>
        <w:t>Supporting special education (SPED) educators</w:t>
      </w:r>
      <w:r>
        <w:rPr>
          <w:rFonts w:ascii="Times New Roman" w:hAnsi="Times New Roman" w:eastAsia="SimSun"/>
          <w:b w:val="0"/>
          <w:i w:val="0"/>
          <w:sz w:val="24"/>
        </w:rPr>
        <w:t xml:space="preserve"> [Parliamentary reply]. https://www.moe.gov.sg/news/parliamentary-replies/20201005-supporting-special-education-sped-educators</w:t>
      </w:r>
    </w:p>
    <w:p>
      <w:pPr>
        <w:spacing w:line="480" w:lineRule="auto" w:before="0" w:after="0"/>
        <w:ind w:hanging="720" w:left="720"/>
      </w:pPr>
      <w:r>
        <w:rPr>
          <w:rFonts w:ascii="Times New Roman" w:hAnsi="Times New Roman" w:eastAsia="SimSun"/>
          <w:b w:val="0"/>
          <w:i w:val="0"/>
          <w:sz w:val="24"/>
        </w:rPr>
        <w:t xml:space="preserve">Ministry of Education, Singapore. (2025, January 8). </w:t>
      </w:r>
      <w:r>
        <w:rPr>
          <w:rFonts w:ascii="Times New Roman" w:hAnsi="Times New Roman" w:eastAsia="SimSun"/>
          <w:b w:val="0"/>
          <w:i/>
          <w:sz w:val="24"/>
        </w:rPr>
        <w:t>SEN students in post-secondary education and internships</w:t>
      </w:r>
      <w:r>
        <w:rPr>
          <w:rFonts w:ascii="Times New Roman" w:hAnsi="Times New Roman" w:eastAsia="SimSun"/>
          <w:b w:val="0"/>
          <w:i w:val="0"/>
          <w:sz w:val="24"/>
        </w:rPr>
        <w:t xml:space="preserve"> [Parliamentary reply]. https://www.moe.gov.sg/news/parliamentary-replies/20250108-sen-students-in-post-secondary-education-and-internships</w:t>
      </w:r>
    </w:p>
    <w:p>
      <w:pPr>
        <w:spacing w:line="480" w:lineRule="auto" w:before="0" w:after="0"/>
        <w:ind w:hanging="720" w:left="720"/>
      </w:pPr>
      <w:r>
        <w:rPr>
          <w:rFonts w:ascii="Times New Roman" w:hAnsi="Times New Roman" w:eastAsia="SimSun"/>
          <w:b w:val="0"/>
          <w:i w:val="0"/>
          <w:sz w:val="24"/>
        </w:rPr>
        <w:t xml:space="preserve">Ministry of Education of the People's Republic of China. (2020). </w:t>
      </w:r>
      <w:r>
        <w:rPr>
          <w:rFonts w:ascii="Times New Roman" w:hAnsi="Times New Roman" w:eastAsia="SimSun"/>
          <w:b w:val="0"/>
          <w:i/>
          <w:sz w:val="24"/>
        </w:rPr>
        <w:t>Guiding opinions on strengthening learning in regular classrooms for children and adolescents with disabilities at the compulsory education stage</w:t>
      </w:r>
      <w:r>
        <w:rPr>
          <w:rFonts w:ascii="Times New Roman" w:hAnsi="Times New Roman" w:eastAsia="SimSun"/>
          <w:b w:val="0"/>
          <w:i w:val="0"/>
          <w:sz w:val="24"/>
        </w:rPr>
        <w:t xml:space="preserve"> (Document No. 4 [2020] of the Department of Basic Education). https://www.moe.gov.cn/srcsite/A06/s3331//202006/t20200628_468736.html</w:t>
      </w:r>
    </w:p>
    <w:p>
      <w:pPr>
        <w:spacing w:line="480" w:lineRule="auto" w:before="0" w:after="0"/>
        <w:ind w:hanging="720" w:left="720"/>
      </w:pPr>
      <w:r>
        <w:rPr>
          <w:rFonts w:ascii="Times New Roman" w:hAnsi="Times New Roman" w:eastAsia="SimSun"/>
          <w:b w:val="0"/>
          <w:i w:val="0"/>
          <w:sz w:val="24"/>
        </w:rPr>
        <w:t xml:space="preserve">Ministry of Education of the People's Republic of China. (2022a). </w:t>
      </w:r>
      <w:r>
        <w:rPr>
          <w:rFonts w:ascii="Times New Roman" w:hAnsi="Times New Roman" w:eastAsia="SimSun"/>
          <w:b w:val="0"/>
          <w:i/>
          <w:sz w:val="24"/>
        </w:rPr>
        <w:t>Notice on issuing the guidelines for quality evaluation of special education provision</w:t>
      </w:r>
      <w:r>
        <w:rPr>
          <w:rFonts w:ascii="Times New Roman" w:hAnsi="Times New Roman" w:eastAsia="SimSun"/>
          <w:b w:val="0"/>
          <w:i w:val="0"/>
          <w:sz w:val="24"/>
        </w:rPr>
        <w:t xml:space="preserve"> (Document No. 4 [2022] of the Department of Basic Education). https://www.moe.gov.cn/srcsite/A06/s3331/202211/t20221107_975922.html</w:t>
      </w:r>
    </w:p>
    <w:p>
      <w:pPr>
        <w:spacing w:line="480" w:lineRule="auto" w:before="0" w:after="0"/>
        <w:ind w:hanging="720" w:left="720"/>
      </w:pPr>
      <w:r>
        <w:rPr>
          <w:rFonts w:ascii="Times New Roman" w:hAnsi="Times New Roman" w:eastAsia="SimSun"/>
          <w:b w:val="0"/>
          <w:i w:val="0"/>
          <w:sz w:val="24"/>
        </w:rPr>
        <w:t xml:space="preserve">Ministry of Education of the People's Republic of China. (2022b). </w:t>
      </w:r>
      <w:r>
        <w:rPr>
          <w:rFonts w:ascii="Times New Roman" w:hAnsi="Times New Roman" w:eastAsia="SimSun"/>
          <w:b w:val="0"/>
          <w:i/>
          <w:sz w:val="24"/>
        </w:rPr>
        <w:t>Reply to Proposal No. 4083 (Education Category No. 392) of the Fourth Session of the 13th National Committee of the CPPCC</w:t>
      </w:r>
      <w:r>
        <w:rPr>
          <w:rFonts w:ascii="Times New Roman" w:hAnsi="Times New Roman" w:eastAsia="SimSun"/>
          <w:b w:val="0"/>
          <w:i w:val="0"/>
          <w:sz w:val="24"/>
        </w:rPr>
        <w:t>. https://www.moe.gov.cn/jyb_xxgk/xxgk_jyta/jyta_jijiaosi/202204/t20220411_615553.html</w:t>
      </w:r>
    </w:p>
    <w:p>
      <w:pPr>
        <w:spacing w:line="480" w:lineRule="auto" w:before="0" w:after="0"/>
        <w:ind w:hanging="720" w:left="720"/>
      </w:pPr>
      <w:r>
        <w:rPr>
          <w:rFonts w:ascii="Times New Roman" w:hAnsi="Times New Roman" w:eastAsia="SimSun"/>
          <w:b w:val="0"/>
          <w:i w:val="0"/>
          <w:sz w:val="24"/>
        </w:rPr>
        <w:t xml:space="preserve">Ministry of Education of the People's Republic of China. (2023). </w:t>
      </w:r>
      <w:r>
        <w:rPr>
          <w:rFonts w:ascii="Times New Roman" w:hAnsi="Times New Roman" w:eastAsia="SimSun"/>
          <w:b w:val="0"/>
          <w:i/>
          <w:sz w:val="24"/>
        </w:rPr>
        <w:t>Grasping the "basic competencies" to build a high-quality special education teaching workforce for the new era</w:t>
      </w:r>
      <w:r>
        <w:rPr>
          <w:rFonts w:ascii="Times New Roman" w:hAnsi="Times New Roman" w:eastAsia="SimSun"/>
          <w:b w:val="0"/>
          <w:i w:val="0"/>
          <w:sz w:val="24"/>
        </w:rPr>
        <w:t>. https://www.moe.gov.cn/jyb_xwfb/moe_2082/2023/2023_zl19/202311/t20231110_1089964.html</w:t>
      </w:r>
    </w:p>
    <w:p>
      <w:pPr>
        <w:spacing w:line="480" w:lineRule="auto" w:before="0" w:after="0"/>
        <w:ind w:hanging="720" w:left="720"/>
      </w:pPr>
      <w:r>
        <w:rPr>
          <w:rFonts w:ascii="Times New Roman" w:hAnsi="Times New Roman" w:eastAsia="SimSun"/>
          <w:b w:val="0"/>
          <w:i w:val="0"/>
          <w:sz w:val="24"/>
        </w:rPr>
        <w:t xml:space="preserve">Ministry of Education of the People's Republic of China. (2025). </w:t>
      </w:r>
      <w:r>
        <w:rPr>
          <w:rFonts w:ascii="Times New Roman" w:hAnsi="Times New Roman" w:eastAsia="SimSun"/>
          <w:b w:val="0"/>
          <w:i/>
          <w:sz w:val="24"/>
        </w:rPr>
        <w:t>2024 national bulletin of education statistics</w:t>
      </w:r>
      <w:r>
        <w:rPr>
          <w:rFonts w:ascii="Times New Roman" w:hAnsi="Times New Roman" w:eastAsia="SimSun"/>
          <w:b w:val="0"/>
          <w:i w:val="0"/>
          <w:sz w:val="24"/>
        </w:rPr>
        <w:t>. https://www.moe.gov.cn/jyb_sjzl/sjzl_fztjgb/202503/t20250303_1179564.html</w:t>
      </w:r>
    </w:p>
    <w:p>
      <w:pPr>
        <w:spacing w:line="480" w:lineRule="auto" w:before="0" w:after="0"/>
        <w:ind w:hanging="720" w:left="720"/>
      </w:pPr>
      <w:r>
        <w:rPr>
          <w:rFonts w:ascii="Times New Roman" w:hAnsi="Times New Roman" w:eastAsia="SimSun"/>
          <w:b w:val="0"/>
          <w:i w:val="0"/>
          <w:sz w:val="24"/>
        </w:rPr>
        <w:t xml:space="preserve">Ministry of Social and Family Development, &amp; SG Enable. (2022). </w:t>
      </w:r>
      <w:r>
        <w:rPr>
          <w:rFonts w:ascii="Times New Roman" w:hAnsi="Times New Roman" w:eastAsia="SimSun"/>
          <w:b w:val="0"/>
          <w:i/>
          <w:sz w:val="24"/>
        </w:rPr>
        <w:t>Enabling Masterplan 2030</w:t>
      </w:r>
      <w:r>
        <w:rPr>
          <w:rFonts w:ascii="Times New Roman" w:hAnsi="Times New Roman" w:eastAsia="SimSun"/>
          <w:b w:val="0"/>
          <w:i w:val="0"/>
          <w:sz w:val="24"/>
        </w:rPr>
        <w:t>. https://www.enablingmasterplan.gov.sg/</w:t>
      </w:r>
    </w:p>
    <w:p>
      <w:pPr>
        <w:spacing w:line="480" w:lineRule="auto" w:before="0" w:after="0"/>
        <w:ind w:hanging="720" w:left="720"/>
      </w:pPr>
      <w:r>
        <w:rPr>
          <w:rFonts w:ascii="Times New Roman" w:hAnsi="Times New Roman" w:eastAsia="SimSun"/>
          <w:b w:val="0"/>
          <w:i w:val="0"/>
          <w:sz w:val="24"/>
        </w:rPr>
        <w:t xml:space="preserve">Norman, N., &amp; Jamieson, J. R. (2021). Social and emotional learning and the work of itinerant teachers of the deaf and hard of hearing. </w:t>
      </w:r>
      <w:r>
        <w:rPr>
          <w:rFonts w:ascii="Times New Roman" w:hAnsi="Times New Roman" w:eastAsia="SimSun"/>
          <w:b w:val="0"/>
          <w:i/>
          <w:sz w:val="24"/>
        </w:rPr>
        <w:t>Journal of Deaf Studies and Deaf Education</w:t>
      </w:r>
      <w:r>
        <w:rPr>
          <w:rFonts w:ascii="Times New Roman" w:hAnsi="Times New Roman" w:eastAsia="SimSun"/>
          <w:b w:val="0"/>
          <w:i w:val="0"/>
          <w:sz w:val="24"/>
        </w:rPr>
        <w:t>. https://doi.org/10.1093/deafed/enab017</w:t>
      </w:r>
    </w:p>
    <w:p>
      <w:pPr>
        <w:spacing w:line="480" w:lineRule="auto" w:before="0" w:after="0"/>
        <w:ind w:hanging="720" w:left="720"/>
      </w:pPr>
      <w:r>
        <w:rPr>
          <w:rFonts w:ascii="Times New Roman" w:hAnsi="Times New Roman" w:eastAsia="SimSun"/>
          <w:b w:val="0"/>
          <w:i w:val="0"/>
          <w:sz w:val="24"/>
        </w:rPr>
        <w:t xml:space="preserve">Othman, M. F., Rahmat, N. E., Aziz, N. A., Hak, N. A., &amp; Kamarudin, D. (2022). Integrating models of disability in special education law for children with disabilities in Malaysia. </w:t>
      </w:r>
      <w:r>
        <w:rPr>
          <w:rFonts w:ascii="Times New Roman" w:hAnsi="Times New Roman" w:eastAsia="SimSun"/>
          <w:b w:val="0"/>
          <w:i/>
          <w:sz w:val="24"/>
        </w:rPr>
        <w:t>NeuroQuantology, 20</w:t>
      </w:r>
      <w:r>
        <w:rPr>
          <w:rFonts w:ascii="Times New Roman" w:hAnsi="Times New Roman" w:eastAsia="SimSun"/>
          <w:b w:val="0"/>
          <w:i w:val="0"/>
          <w:sz w:val="24"/>
        </w:rPr>
        <w:t>(12). https://doi.org/10.14704/NQ.2022.20.12.NQ77158</w:t>
      </w:r>
    </w:p>
    <w:p>
      <w:pPr>
        <w:spacing w:line="480" w:lineRule="auto" w:before="0" w:after="0"/>
        <w:ind w:hanging="720" w:left="720"/>
      </w:pPr>
      <w:r>
        <w:rPr>
          <w:rFonts w:ascii="Times New Roman" w:hAnsi="Times New Roman" w:eastAsia="SimSun"/>
          <w:b w:val="0"/>
          <w:i w:val="0"/>
          <w:sz w:val="24"/>
        </w:rPr>
        <w:t xml:space="preserve">People's Daily. (2022, January 8). </w:t>
      </w:r>
      <w:r>
        <w:rPr>
          <w:rFonts w:ascii="Times New Roman" w:hAnsi="Times New Roman" w:eastAsia="SimSun"/>
          <w:b w:val="0"/>
          <w:i/>
          <w:sz w:val="24"/>
        </w:rPr>
        <w:t>Nan'an, Quanzhou: Building a cloud-based school for special education</w:t>
      </w:r>
      <w:r>
        <w:rPr>
          <w:rFonts w:ascii="Times New Roman" w:hAnsi="Times New Roman" w:eastAsia="SimSun"/>
          <w:b w:val="0"/>
          <w:i w:val="0"/>
          <w:sz w:val="24"/>
        </w:rPr>
        <w:t>. https://fj.people.com.cn/BIG5/n2/2022/0108/c181466-35086862.html</w:t>
      </w:r>
    </w:p>
    <w:p>
      <w:pPr>
        <w:spacing w:line="480" w:lineRule="auto" w:before="0" w:after="0"/>
        <w:ind w:hanging="720" w:left="720"/>
      </w:pPr>
      <w:r>
        <w:rPr>
          <w:rFonts w:ascii="Times New Roman" w:hAnsi="Times New Roman" w:eastAsia="SimSun"/>
          <w:b w:val="0"/>
          <w:i w:val="0"/>
          <w:sz w:val="24"/>
        </w:rPr>
        <w:t xml:space="preserve">Piekema, L., Brug, A., Waninge, A., &amp; Putten, A. (2024). From assistive to inclusive? A systematic review of the uses and effects of technology to support people with pervasive support needs. </w:t>
      </w:r>
      <w:r>
        <w:rPr>
          <w:rFonts w:ascii="Times New Roman" w:hAnsi="Times New Roman" w:eastAsia="SimSun"/>
          <w:b w:val="0"/>
          <w:i/>
          <w:sz w:val="24"/>
        </w:rPr>
        <w:t>Journal of Applied Research in Intellectual Disabilities, 37</w:t>
      </w:r>
      <w:r>
        <w:rPr>
          <w:rFonts w:ascii="Times New Roman" w:hAnsi="Times New Roman" w:eastAsia="SimSun"/>
          <w:b w:val="0"/>
          <w:i w:val="0"/>
          <w:sz w:val="24"/>
        </w:rPr>
        <w:t>(4). https://doi.org/10.1111/jar.13181</w:t>
      </w:r>
    </w:p>
    <w:p>
      <w:pPr>
        <w:spacing w:line="480" w:lineRule="auto" w:before="0" w:after="0"/>
        <w:ind w:hanging="720" w:left="720"/>
      </w:pPr>
      <w:r>
        <w:rPr>
          <w:rFonts w:ascii="Times New Roman" w:hAnsi="Times New Roman" w:eastAsia="SimSun"/>
          <w:b w:val="0"/>
          <w:i w:val="0"/>
          <w:sz w:val="24"/>
        </w:rPr>
        <w:t xml:space="preserve">Pudong New Area Education Bureau, Shanghai. (2023). </w:t>
      </w:r>
      <w:r>
        <w:rPr>
          <w:rFonts w:ascii="Times New Roman" w:hAnsi="Times New Roman" w:eastAsia="SimSun"/>
          <w:b w:val="0"/>
          <w:i/>
          <w:sz w:val="24"/>
        </w:rPr>
        <w:t>Implementation opinions of the Pudong New Area Education Bureau on strengthening learning in regular classrooms and raising the level of inclusive education in the district</w:t>
      </w:r>
      <w:r>
        <w:rPr>
          <w:rFonts w:ascii="Times New Roman" w:hAnsi="Times New Roman" w:eastAsia="SimSun"/>
          <w:b w:val="0"/>
          <w:i w:val="0"/>
          <w:sz w:val="24"/>
        </w:rPr>
        <w:t>. https://www.pudong.gov.cn/zwgk/14524.gkml_ywl_jcjy/2023/345/320721.html</w:t>
      </w:r>
    </w:p>
    <w:p>
      <w:pPr>
        <w:spacing w:line="480" w:lineRule="auto" w:before="0" w:after="0"/>
        <w:ind w:hanging="720" w:left="720"/>
      </w:pPr>
      <w:r>
        <w:rPr>
          <w:rFonts w:ascii="Times New Roman" w:hAnsi="Times New Roman" w:eastAsia="SimSun"/>
          <w:b w:val="0"/>
          <w:i w:val="0"/>
          <w:sz w:val="24"/>
        </w:rPr>
        <w:t xml:space="preserve">Shenzhen Bao'an District Education Bureau. (2023). </w:t>
      </w:r>
      <w:r>
        <w:rPr>
          <w:rFonts w:ascii="Times New Roman" w:hAnsi="Times New Roman" w:eastAsia="SimSun"/>
          <w:b w:val="0"/>
          <w:i/>
          <w:sz w:val="24"/>
        </w:rPr>
        <w:t>Administrative measures of Shenzhen Bao'an District for resource teachers for learning in regular classrooms and district itinerant guidance teachers</w:t>
      </w:r>
      <w:r>
        <w:rPr>
          <w:rFonts w:ascii="Times New Roman" w:hAnsi="Times New Roman" w:eastAsia="SimSun"/>
          <w:b w:val="0"/>
          <w:i w:val="0"/>
          <w:sz w:val="24"/>
        </w:rPr>
        <w:t>. https://www.baoan.gov.cn/bajyj/gkmlpt/content/9/9912/post_9912481.html</w:t>
      </w:r>
    </w:p>
    <w:p>
      <w:pPr>
        <w:spacing w:line="480" w:lineRule="auto" w:before="0" w:after="0"/>
        <w:ind w:hanging="720" w:left="720"/>
      </w:pPr>
      <w:r>
        <w:rPr>
          <w:rFonts w:ascii="Times New Roman" w:hAnsi="Times New Roman" w:eastAsia="SimSun"/>
          <w:b w:val="0"/>
          <w:i w:val="0"/>
          <w:sz w:val="24"/>
        </w:rPr>
        <w:t xml:space="preserve">Sin Chew Daily. (2020, October 26). </w:t>
      </w:r>
      <w:r>
        <w:rPr>
          <w:rFonts w:ascii="Times New Roman" w:hAnsi="Times New Roman" w:eastAsia="SimSun"/>
          <w:b w:val="0"/>
          <w:i/>
          <w:sz w:val="24"/>
        </w:rPr>
        <w:t>Number of special education classes nationwide awaits increase</w:t>
      </w:r>
      <w:r>
        <w:rPr>
          <w:rFonts w:ascii="Times New Roman" w:hAnsi="Times New Roman" w:eastAsia="SimSun"/>
          <w:b w:val="0"/>
          <w:i w:val="0"/>
          <w:sz w:val="24"/>
        </w:rPr>
        <w:t>. https://www.chinaqw.com/hwjy/2020/10-26/273975.shtml</w:t>
      </w:r>
    </w:p>
    <w:p>
      <w:pPr>
        <w:spacing w:line="480" w:lineRule="auto" w:before="0" w:after="0"/>
        <w:ind w:hanging="720" w:left="720"/>
      </w:pPr>
      <w:r>
        <w:rPr>
          <w:rFonts w:ascii="Times New Roman" w:hAnsi="Times New Roman" w:eastAsia="SimSun"/>
          <w:b w:val="0"/>
          <w:i w:val="0"/>
          <w:sz w:val="24"/>
        </w:rPr>
        <w:t xml:space="preserve">State Council of the People's Republic of China. (2017). </w:t>
      </w:r>
      <w:r>
        <w:rPr>
          <w:rFonts w:ascii="Times New Roman" w:hAnsi="Times New Roman" w:eastAsia="SimSun"/>
          <w:b w:val="0"/>
          <w:i/>
          <w:sz w:val="24"/>
        </w:rPr>
        <w:t>Regulations on education for persons with disabilities</w:t>
      </w:r>
      <w:r>
        <w:rPr>
          <w:rFonts w:ascii="Times New Roman" w:hAnsi="Times New Roman" w:eastAsia="SimSun"/>
          <w:b w:val="0"/>
          <w:i w:val="0"/>
          <w:sz w:val="24"/>
        </w:rPr>
        <w:t>. https://www.gov.cn/zhengce/content/2017-02/23/content_5170264.htm</w:t>
      </w:r>
    </w:p>
    <w:p>
      <w:pPr>
        <w:spacing w:line="480" w:lineRule="auto" w:before="0" w:after="0"/>
        <w:ind w:hanging="720" w:left="720"/>
      </w:pPr>
      <w:r>
        <w:rPr>
          <w:rFonts w:ascii="Times New Roman" w:hAnsi="Times New Roman" w:eastAsia="SimSun"/>
          <w:b w:val="0"/>
          <w:i w:val="0"/>
          <w:sz w:val="24"/>
        </w:rPr>
        <w:t xml:space="preserve">Zhou, L. (2024). </w:t>
      </w:r>
      <w:r>
        <w:rPr>
          <w:rFonts w:ascii="Times New Roman" w:hAnsi="Times New Roman" w:eastAsia="SimSun"/>
          <w:b w:val="0"/>
          <w:i/>
          <w:sz w:val="24"/>
        </w:rPr>
        <w:t>人工智能时代残疾人教育的机遇与挑战</w:t>
      </w:r>
      <w:r>
        <w:rPr>
          <w:rFonts w:ascii="Times New Roman" w:hAnsi="Times New Roman" w:eastAsia="SimSun"/>
          <w:b w:val="0"/>
          <w:i w:val="0"/>
          <w:sz w:val="24"/>
        </w:rPr>
        <w:t xml:space="preserve"> [Opportunities and challenges in education for persons with disabilities in the age of artificial intelligence] (In Chinese). </w:t>
      </w:r>
      <w:r>
        <w:rPr>
          <w:rFonts w:ascii="Times New Roman" w:hAnsi="Times New Roman" w:eastAsia="SimSun"/>
          <w:b w:val="0"/>
          <w:i/>
          <w:sz w:val="24"/>
        </w:rPr>
        <w:t>Education Teaching Forum</w:t>
      </w:r>
      <w:r>
        <w:rPr>
          <w:rFonts w:ascii="Times New Roman" w:hAnsi="Times New Roman" w:eastAsia="SimSun"/>
          <w:b w:val="0"/>
          <w:i w:val="0"/>
          <w:sz w:val="24"/>
        </w:rPr>
        <w:t>, (17). https://doi.org/10.3969/j.issn.1674-9324.2024.17.000</w:t>
      </w:r>
    </w:p>
    <w:p>
      <w:pPr>
        <w:spacing w:line="480" w:lineRule="auto" w:before="0" w:after="0"/>
        <w:ind w:hanging="720" w:left="720"/>
      </w:pPr>
      <w:r>
        <w:rPr>
          <w:rFonts w:ascii="Times New Roman" w:hAnsi="Times New Roman" w:eastAsia="SimSun"/>
          <w:b w:val="0"/>
          <w:i w:val="0"/>
          <w:sz w:val="24"/>
        </w:rPr>
        <w:t xml:space="preserve">Zhou, Z., Li, Y., et al. (2022). </w:t>
      </w:r>
      <w:r>
        <w:rPr>
          <w:rFonts w:ascii="Times New Roman" w:hAnsi="Times New Roman" w:eastAsia="SimSun"/>
          <w:b w:val="0"/>
          <w:i/>
          <w:sz w:val="24"/>
        </w:rPr>
        <w:t>融合教育背景下巡回指导教师专业素养建构研究</w:t>
      </w:r>
      <w:r>
        <w:rPr>
          <w:rFonts w:ascii="Times New Roman" w:hAnsi="Times New Roman" w:eastAsia="SimSun"/>
          <w:b w:val="0"/>
          <w:i w:val="0"/>
          <w:sz w:val="24"/>
        </w:rPr>
        <w:t xml:space="preserve"> [Constructing the professional competence of itinerant guidance teachers in the context of inclusive education] (In Chinese). </w:t>
      </w:r>
      <w:r>
        <w:rPr>
          <w:rFonts w:ascii="Times New Roman" w:hAnsi="Times New Roman" w:eastAsia="SimSun"/>
          <w:b w:val="0"/>
          <w:i/>
          <w:sz w:val="24"/>
        </w:rPr>
        <w:t>Chinese Special Education</w:t>
      </w:r>
      <w:r>
        <w:rPr>
          <w:rFonts w:ascii="Times New Roman" w:hAnsi="Times New Roman" w:eastAsia="SimSun"/>
          <w:b w:val="0"/>
          <w:i w:val="0"/>
          <w:sz w:val="24"/>
        </w:rPr>
        <w:t>, (6). https://www.cnki.com.cn/Article/CJFDTotal-ZDTJ202206005.htm</w:t>
      </w:r>
    </w:p>
    <w:p>
      <w:pPr>
        <w:spacing w:line="480" w:lineRule="auto" w:before="0" w:after="0"/>
        <w:ind w:hanging="720" w:left="720"/>
      </w:pPr>
      <w:r>
        <w:rPr>
          <w:rFonts w:ascii="Times New Roman" w:hAnsi="Times New Roman" w:eastAsia="SimSun"/>
          <w:b w:val="0"/>
          <w:i w:val="0"/>
          <w:sz w:val="24"/>
        </w:rPr>
        <w:t xml:space="preserve">Zhu, N., Gao, L., Wang, J., Wang, Y., Huang, Z., Guo, N., &amp; Feng, Y. (2021). Professional qualities of special education itinerant teachers: A qualitative study from China. </w:t>
      </w:r>
      <w:r>
        <w:rPr>
          <w:rFonts w:ascii="Times New Roman" w:hAnsi="Times New Roman" w:eastAsia="SimSun"/>
          <w:b w:val="0"/>
          <w:i/>
          <w:sz w:val="24"/>
        </w:rPr>
        <w:t>Asia Pacific Journal of Education, 41</w:t>
      </w:r>
      <w:r>
        <w:rPr>
          <w:rFonts w:ascii="Times New Roman" w:hAnsi="Times New Roman" w:eastAsia="SimSun"/>
          <w:b w:val="0"/>
          <w:i w:val="0"/>
          <w:sz w:val="24"/>
        </w:rPr>
        <w:t>(4), 1–14. https://doi.org/10.1080/1034912X.2021.1958199</w:t>
      </w:r>
    </w:p>
    <w:sectPr w:rsidR="00FC693F" w:rsidRPr="0006063C" w:rsidSect="00034616">
      <w:footerReference w:type="default" r:id="rId11"/>
      <w:pgSz w:w="11906" w:h="16838"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ercent="10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480" w:lineRule="auto" w:after="0" w:before="0"/>
    </w:pPr>
    <w:rPr>
      <w:rFonts w:eastAsia="SimSun" w:ascii="Times New Roman" w:hAnsi="Times New Roman" w:cs="Times New Roman"/>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40" w:after="0" w:line="480" w:lineRule="auto"/>
      <w:outlineLvl w:val="0"/>
    </w:pPr>
    <w:rPr>
      <w:rFonts w:asciiTheme="majorHAnsi" w:eastAsiaTheme="majorEastAsia" w:hAnsiTheme="majorHAnsi" w:cstheme="majorBidi" w:eastAsia="SimSun" w:ascii="Times New Roman" w:hAnsi="Times New Roman" w:cs="Times New Roman"/>
      <w:b/>
      <w:bCs/>
      <w:color w:val="000000"/>
      <w:sz w:val="28"/>
      <w:szCs w:val="32"/>
    </w:rPr>
  </w:style>
  <w:style w:type="paragraph" w:styleId="Heading2">
    <w:name w:val="heading 2"/>
    <w:basedOn w:val="Normal"/>
    <w:next w:val="Normal"/>
    <w:link w:val="Heading2Char"/>
    <w:uiPriority w:val="9"/>
    <w:unhideWhenUsed/>
    <w:qFormat/>
    <w:rsid w:val="00FC693F"/>
    <w:pPr>
      <w:keepNext/>
      <w:keepLines/>
      <w:spacing w:before="120" w:after="0" w:line="480" w:lineRule="auto"/>
      <w:outlineLvl w:val="1"/>
    </w:pPr>
    <w:rPr>
      <w:rFonts w:asciiTheme="majorHAnsi" w:eastAsiaTheme="majorEastAsia" w:hAnsiTheme="majorHAnsi" w:cstheme="majorBidi" w:eastAsia="SimSun" w:ascii="Times New Roman" w:hAnsi="Times New Roman" w:cs="Times New Roman"/>
      <w:b/>
      <w:bCs/>
      <w:color w:val="000000"/>
      <w:sz w:val="25"/>
      <w:szCs w:val="28"/>
    </w:rPr>
  </w:style>
  <w:style w:type="paragraph" w:styleId="Heading3">
    <w:name w:val="heading 3"/>
    <w:basedOn w:val="Normal"/>
    <w:next w:val="Normal"/>
    <w:link w:val="Heading3Char"/>
    <w:uiPriority w:val="9"/>
    <w:unhideWhenUsed/>
    <w:qFormat/>
    <w:rsid w:val="00FC693F"/>
    <w:pPr>
      <w:keepNext/>
      <w:keepLines/>
      <w:spacing w:before="120" w:after="0" w:line="480" w:lineRule="auto"/>
      <w:outlineLvl w:val="2"/>
    </w:pPr>
    <w:rPr>
      <w:rFonts w:asciiTheme="majorHAnsi" w:eastAsiaTheme="majorEastAsia" w:hAnsiTheme="majorHAnsi" w:cstheme="majorBidi" w:eastAsia="SimSun" w:ascii="Times New Roman" w:hAnsi="Times New Roman" w:cs="Times New Roman"/>
      <w:b/>
      <w:bCs/>
      <w:color w:val="000000"/>
      <w:sz w:val="24"/>
      <w:szCs w:val="2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IGC">
    <vt:lpwstr>{"Label":"1","ContentProducer":"001191440300708461136T1WFUO","ProduceID":"4264f4e4cef79522bfb84f1867443b3f-fV8J","ReservedCode1":"{\"Type\":\" TC260PG\",\"Version\":1,\"Bindings\":[{\"Type\":\"soft\",\"AlgID\":\"sm3\",\"Value\":\"607faf4197fcb14437f0f47ebdb4f91d8d67ca98c412ffd176a941a0d2519fd6\"},{\"Type\":\"hash\",\"AlgID\":\"sm3\",\"Value\":\"69624bbbd82f92ed74bf4bcbd2912f580abb1902b58ac90d9440c7b9290ec69f\"}],\"PubSD\":[{\"Type\":\"DS\",\"AlgID\":\"sm2\",\"TBSData\":{\"Type\":\"Binding\",\"BType\":\"hash\"},\"Signature\":\"3045022036dd836dcc357a5b67778fe482f31e9e0af1e6d9dc3084444d4d73c24e49276f022100e2e3bbb079eeca7a2a89d9a277e98bac2b75c9da9b98e78d8f5a517c328b7bfe\"},{\"Type\":\"PubKey\",\"AlgID\":\"sm2\",\"KeyValue\":\"0407f79b28a17a752b3aae4305c98b48978213832729a2571850b1310b2bc9fe8fee039ccf25ebfeac27502414d9fcef792d777183c98893d226171c2f7a3289a2\"}],\"Extension\":{\"Timestamp\":1789961819,\"KeyVersion\":\"v1-TxLeOmf7bqU223\"}}","ContentPropagator":"001191440300708461136T1WFUO","PropagateID":"4264f4e4cef79522bfb84f1867443b3f-fV8J","ReservedCode2":"{\"Type\":\" TC260PG\",\"Version\":1,\"Bindings\":[{\"Type\":\"soft\",\"AlgID\":\"sm3\",\"Value\":\"607faf4197fcb14437f0f47ebdb4f91d8d67ca98c412ffd176a941a0d2519fd6\"},{\"Type\":\"hash\",\"AlgID\":\"sm3\",\"Value\":\"69624bbbd82f92ed74bf4bcbd2912f580abb1902b58ac90d9440c7b9290ec69f\"}],\"PubSD\":[{\"Type\":\"DS\",\"AlgID\":\"sm2\",\"TBSData\":{\"Type\":\"Binding\",\"BType\":\"hash\"},\"Signature\":\"3045022100ae1d0c772e0f90f697831f79af3f6a5d7bf9c610318e5dd7154c9cfce0897e1f02207553917fc984e7e17ecc1c27a5c90973cd30db1ce71c4001c597cee578777c65\"},{\"Type\":\"PubKey\",\"AlgID\":\"sm2\",\"KeyValue\":\"0407f79b28a17a752b3aae4305c98b48978213832729a2571850b1310b2bc9fe8fee039ccf25ebfeac27502414d9fcef792d777183c98893d226171c2f7a3289a2\"}],\"Extension\":{\"Timestamp\":1789961819,\"KeyVersion\":\"v1-TxLeOmf7bqU223\"}}"}</vt:lpwstr>
  </property>
</Properties>
</file>