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4"/>
        <w:spacing w:lineRule="auto" w:line="288" w:before="480" w:after="480"/>
        <w:ind w:left="0" w:hanging="0"/>
        <w:rPr/>
      </w:pPr>
      <w:r>
        <w:rPr/>
      </w:r>
    </w:p>
    <w:p>
      <w:pPr>
        <w:pStyle w:val="1"/>
        <w:rPr/>
      </w:pPr>
      <w:r>
        <w:rPr/>
        <w:t>GROUP ASSIGNMENT</w:t>
      </w:r>
    </w:p>
    <w:p>
      <w:pPr>
        <w:pStyle w:val="1"/>
        <w:rPr/>
      </w:pPr>
      <w:r>
        <w:rPr/>
        <w:t>SEPTEMBER 2025</w:t>
      </w:r>
    </w:p>
    <w:p>
      <w:pPr>
        <w:pStyle w:val="1"/>
        <w:rPr/>
      </w:pPr>
      <w:r>
        <w:rPr/>
        <w:t>ASSIGNMENT COVER SHEET</w:t>
      </w:r>
    </w:p>
    <w:p>
      <w:pPr>
        <w:pStyle w:val="2"/>
        <w:rPr/>
      </w:pPr>
      <w:r>
        <w:rPr/>
        <w:t>Course Details</w:t>
      </w:r>
    </w:p>
    <w:p>
      <w:pPr>
        <w:pStyle w:val="Normal"/>
        <w:rPr/>
      </w:pPr>
      <w:r>
        <w:rPr/>
        <w:t>Subject Code: MSN1013Course: DIVERSITY OF LEARNERS WITH DISABILITIESProgramme: MASTER IN SPECIAL NEEDS EDUCATIONYear &amp; Semester: 2025-2026 Semester 1Lecturer’s Name: ______________________________</w:t>
      </w:r>
    </w:p>
    <w:p>
      <w:pPr>
        <w:pStyle w:val="2"/>
        <w:rPr/>
      </w:pPr>
      <w:r>
        <w:rPr/>
        <w:t>Assignment Details</w:t>
      </w:r>
    </w:p>
    <w:p>
      <w:pPr>
        <w:pStyle w:val="Normal"/>
        <w:rPr/>
      </w:pPr>
      <w:r>
        <w:rPr/>
        <w:t>Due Date: ______________________________Assignment Topic: Comparative Analysis of Inclusive Education Strategies for Learners with Different DisabilitiesWord Count: 5480 Words</w:t>
      </w:r>
    </w:p>
    <w:p>
      <w:pPr>
        <w:pStyle w:val="2"/>
        <w:rPr/>
      </w:pPr>
      <w:r>
        <w:rPr/>
        <w:t>Student’s Details</w:t>
      </w:r>
    </w:p>
    <w:p>
      <w:pPr>
        <w:pStyle w:val="Normal"/>
        <w:rPr/>
      </w:pPr>
      <w:r>
        <w:rPr/>
        <w:t>Name &amp; Matric No.:______________________________Name &amp; Matric No.:______________________________Name &amp; Matric No.:______________________________</w:t>
      </w:r>
    </w:p>
    <w:p>
      <w:pPr>
        <w:pStyle w:val="2"/>
        <w:rPr/>
      </w:pPr>
      <w:r>
        <w:rPr/>
        <w:t>Overall Assignment Mark: _______________</w:t>
      </w:r>
    </w:p>
    <w:p>
      <w:pPr>
        <w:pStyle w:val="Normal"/>
        <w:rPr/>
      </w:pPr>
      <w:r>
        <w:rPr/>
      </w:r>
    </w:p>
    <w:p>
      <w:pPr>
        <w:pStyle w:val="Normal"/>
        <w:pBdr>
          <w:bottom w:val="single" w:sz="6" w:space="1" w:color="000000"/>
        </w:pBdr>
        <w:rPr/>
      </w:pPr>
      <w:r>
        <w:rPr/>
      </w:r>
    </w:p>
    <w:p>
      <w:pPr>
        <w:pStyle w:val="1"/>
        <w:rPr/>
      </w:pPr>
      <w:r>
        <w:rPr/>
        <w:t>Comparative Analysis of Inclusive Education Strategies for Learners with Different Disabilities</w:t>
      </w:r>
    </w:p>
    <w:p>
      <w:pPr>
        <w:pStyle w:val="2"/>
        <w:rPr/>
      </w:pPr>
      <w:r>
        <w:rPr/>
        <w:t>A Report for MSN1013 Diversity of Learners with Disabilities</w:t>
      </w:r>
    </w:p>
    <w:p>
      <w:pPr>
        <w:pStyle w:val="3"/>
        <w:rPr/>
      </w:pPr>
      <w:r>
        <w:rPr/>
        <w:t>Table of Contents</w:t>
      </w:r>
    </w:p>
    <w:p>
      <w:pPr>
        <w:pStyle w:val="Normal"/>
        <w:rPr/>
      </w:pPr>
      <w:r>
        <w:rPr/>
        <w:t>Introduction ........................................................................................................................................ 3</w:t>
      </w:r>
    </w:p>
    <w:p>
      <w:pPr>
        <w:pStyle w:val="Normal"/>
        <w:rPr/>
      </w:pPr>
      <w:r>
        <w:rPr/>
        <w:t>Case Study 1: Intellectual Disability (Xiong Chenglong) .................................................................. 42.1 Scenario Description ................................................................................................................ 42.2 Definition of Intellectual Disability and Impact on Development ........................................... 52.3 Theoretical Model Application ................................................................................................... 62.4 Cultural Perspective Considerations .......................................................................................... 82.5 Legal Framework Alignment ..................................................................................................... 92.6 Assistive Technology Application ............................................................................................ 112.7 Critique of Current Inclusive Education Practices ................................................................... 122.8 Improvement Suggestions ....................................................................................................... 13</w:t>
      </w:r>
    </w:p>
    <w:p>
      <w:pPr>
        <w:pStyle w:val="Normal"/>
        <w:rPr/>
      </w:pPr>
      <w:r>
        <w:rPr/>
        <w:t>Case Study 2: Autism Spectrum Disorder (Afu) ............................................................................ 153.1 Scenario Description .............................................................................................................. 153.2 Definition of Autism Spectrum Disorder and Impact on Development ................................. 163.3 Theoretical Model Application ............................................................................................... 173.4 Cultural Perspective Considerations ...................................................................................... 193.5 Legal Framework Alignment ................................................................................................... 203.6 Assistive Technology Application .......................................................................................... 223.7 Critique of Current Inclusive Education Practices ................................................................... 233.8 Improvement Suggestions ....................................................................................................... 24</w:t>
      </w:r>
    </w:p>
    <w:p>
      <w:pPr>
        <w:pStyle w:val="Normal"/>
        <w:rPr/>
      </w:pPr>
      <w:r>
        <w:rPr/>
        <w:t>Comparative Analysis of Inclusive Education Strategies ............................................................ 26</w:t>
      </w:r>
    </w:p>
    <w:p>
      <w:pPr>
        <w:pStyle w:val="Normal"/>
        <w:rPr/>
      </w:pPr>
      <w:r>
        <w:rPr/>
        <w:t>Conclusion .................................................................................................................................... 28</w:t>
      </w:r>
    </w:p>
    <w:p>
      <w:pPr>
        <w:pStyle w:val="Normal"/>
        <w:rPr/>
      </w:pPr>
      <w:r>
        <w:rPr/>
        <w:t>References .................................................................................................................................... 29</w:t>
      </w:r>
    </w:p>
    <w:p>
      <w:pPr>
        <w:pStyle w:val="Normal"/>
        <w:rPr/>
      </w:pPr>
      <w:r>
        <w:rPr/>
        <w:t>Appendix: Group Assessment Rubric .......................................................................................... 32</w:t>
      </w:r>
    </w:p>
    <w:p>
      <w:pPr>
        <w:pStyle w:val="Normal"/>
        <w:rPr/>
      </w:pPr>
      <w:r>
        <w:rPr/>
      </w:r>
    </w:p>
    <w:p>
      <w:pPr>
        <w:pStyle w:val="Normal"/>
        <w:pBdr>
          <w:bottom w:val="single" w:sz="6" w:space="1" w:color="000000"/>
        </w:pBdr>
        <w:rPr/>
      </w:pPr>
      <w:r>
        <w:rPr/>
      </w:r>
    </w:p>
    <w:p>
      <w:pPr>
        <w:pStyle w:val="1"/>
        <w:rPr/>
      </w:pPr>
      <w:r>
        <w:rPr/>
        <w:t>1. Introduction</w:t>
      </w:r>
    </w:p>
    <w:p>
      <w:pPr>
        <w:pStyle w:val="Normal"/>
        <w:rPr/>
      </w:pPr>
      <w:r>
        <w:rPr/>
        <w:t>Inclusive education, as a core concept of modern special needs education, advocates for the placement of learners with disabilities in general education settings, providing personalized support to ensure their equal access to education and full social integration (UNESCO, 2020). With the deepening of educational equity in China, inclusive education has gradually become a key focus of the education system, but it still faces challenges such as inadequate professional support, uneven resource allocation, and cultural stigma (Liu &amp; Zhang, 2022).</w:t>
      </w:r>
    </w:p>
    <w:p>
      <w:pPr>
        <w:pStyle w:val="Normal"/>
        <w:rPr/>
      </w:pPr>
      <w:r>
        <w:rPr/>
        <w:t xml:space="preserve">This report selects two typical cases of learners with disabilities: </w:t>
      </w:r>
      <w:r>
        <w:rPr>
          <w:b/>
          <w:bCs/>
        </w:rPr>
        <w:t>Xiong Chenglong (intellectual disability)</w:t>
      </w:r>
      <w:r>
        <w:rPr/>
        <w:t xml:space="preserve"> and </w:t>
      </w:r>
      <w:r>
        <w:rPr>
          <w:b/>
          <w:bCs/>
        </w:rPr>
        <w:t>Afu (autism spectrum disorder, ASD)</w:t>
      </w:r>
      <w:r>
        <w:rPr/>
        <w:t>, which are derived from practical educational scenarios and represent two distinct disability types (cognitive disability and neurodevelopmental disability). The research objectives are as follows: (1) Analyze the impact of the two disabilities on learners’ development using theoretical models; (2) Explore the application of inclusive education strategies from the perspectives of legislation, assistive technology, and culture; (3) Critically reflect on the limitations of current inclusive education practices; (4) Propose targeted improvement suggestions.</w:t>
      </w:r>
    </w:p>
    <w:p>
      <w:pPr>
        <w:pStyle w:val="Normal"/>
        <w:rPr/>
      </w:pPr>
      <w:r>
        <w:rPr/>
        <w:t>The research adheres to the principles of evidence-based practice, integrates international and domestic literature, aligns with relevant national laws and regulations, and aims to provide practical references for optimizing inclusive education practices for learners with diverse disabilities, thereby promoting the realization of educational equity.</w:t>
      </w:r>
    </w:p>
    <w:p>
      <w:pPr>
        <w:pStyle w:val="Normal"/>
        <w:rPr/>
      </w:pPr>
      <w:r>
        <w:rPr/>
      </w:r>
    </w:p>
    <w:p>
      <w:pPr>
        <w:pStyle w:val="Normal"/>
        <w:pBdr>
          <w:bottom w:val="single" w:sz="6" w:space="1" w:color="000000"/>
        </w:pBdr>
        <w:rPr/>
      </w:pPr>
      <w:r>
        <w:rPr/>
      </w:r>
    </w:p>
    <w:p>
      <w:pPr>
        <w:pStyle w:val="1"/>
        <w:rPr/>
      </w:pPr>
      <w:r>
        <w:rPr/>
        <w:t>2. Case Study 1: Intellectual Disability (Xiong Chenglong)</w:t>
      </w:r>
    </w:p>
    <w:p>
      <w:pPr>
        <w:pStyle w:val="2"/>
        <w:rPr/>
      </w:pPr>
      <w:r>
        <w:rPr/>
        <w:t>2.1 Scenario Description</w:t>
      </w:r>
    </w:p>
    <w:p>
      <w:pPr>
        <w:pStyle w:val="Normal"/>
        <w:rPr/>
      </w:pPr>
      <w:r>
        <w:rPr/>
        <w:t>Xiong Chenglong, a 10-year-old fourth-grade student in a public primary school in a county-level city in Guangdong Province, was diagnosed with moderate intellectual disability at the age of 7. His disability was caused by severe encephalitis after a high fever at the age of 3, resulting in impaired brain function.</w:t>
      </w:r>
    </w:p>
    <w:p>
      <w:pPr>
        <w:pStyle w:val="Normal"/>
        <w:rPr/>
      </w:pPr>
      <w:r>
        <w:rPr/>
        <w:t>In school, Chenglong’s learning ability is significantly lower than that of his peers: he cannot keep up with the normal teaching progress, struggles to understand basic Chinese characters and 10</w:t>
      </w:r>
      <w:r>
        <w:rPr/>
        <w:t xml:space="preserve">以内 </w:t>
      </w:r>
      <w:r>
        <w:rPr/>
        <w:t>mathematical operations, and often wanders off or engages in small movements in class. His self-care ability is inadequate: he cannot independently organize his schoolbag, needs reminders to wash his hands and brush his teeth, and eats slowly with frequent spills. Socially, he is extremely inferior due to his disability and is often ridiculed and isolated by his classmates. He rarely takes the initiative to communicate with teachers or peers, and when encountering difficulties, he only cries silently instead of seeking help.</w:t>
      </w:r>
    </w:p>
    <w:p>
      <w:pPr>
        <w:pStyle w:val="Normal"/>
        <w:rPr/>
      </w:pPr>
      <w:r>
        <w:rPr/>
        <w:t>At home, Chenglong lives in a single-parent family with his mother, who works odd jobs to support the family and has little time to accompany him. His mother has a primary school education level, lacks knowledge about intellectual disability, and even holds the idea that “the child is hopeless,” occasionally losing her temper and criticizing him. There is no other family support, and Chenglong stays alone at home after school without access to additional learning or social training.</w:t>
      </w:r>
    </w:p>
    <w:p>
      <w:pPr>
        <w:pStyle w:val="Normal"/>
        <w:rPr/>
      </w:pPr>
      <w:r>
        <w:rPr/>
        <w:t>The school where Chenglong studies has not established a special resource classroom, and the teachers have not received systematic special education training. They can only provide simple after-school tutoring but cannot formulate personalized education plans (IEPs) for him. The school has not carried out inclusive education promotion activities, leading to a lack of understanding and acceptance of Chenglong among his classmates.</w:t>
      </w:r>
    </w:p>
    <w:p>
      <w:pPr>
        <w:pStyle w:val="2"/>
        <w:rPr/>
      </w:pPr>
      <w:r>
        <w:rPr/>
        <w:t>2.2 Definition of Intellectual Disability and Impact on Development</w:t>
      </w:r>
    </w:p>
    <w:p>
      <w:pPr>
        <w:pStyle w:val="Normal"/>
        <w:rPr/>
      </w:pPr>
      <w:r>
        <w:rPr/>
        <w:t xml:space="preserve">According to the </w:t>
      </w:r>
      <w:r>
        <w:rPr>
          <w:b/>
          <w:bCs/>
        </w:rPr>
        <w:t>Diagnostic and Statistical Manual of Mental Disorders, 5th Edition (DSM-5)</w:t>
      </w:r>
      <w:r>
        <w:rPr/>
        <w:t>, intellectual disability is defined as “a deficit in intellectual functioning (e.g., reasoning, problem-solving, planning, abstract thinking) and adaptive functioning (e.g., social, practical, and conceptual skills) that originates before the age of 18” (American Psychiatric Association [APA], 2013). Moderate intellectual disability (IQ 35-49) is characterized by difficulty in understanding abstract concepts, limited language expression, and the need for moderate support in daily life and social interaction.</w:t>
      </w:r>
    </w:p>
    <w:p>
      <w:pPr>
        <w:pStyle w:val="Normal"/>
        <w:rPr/>
      </w:pPr>
      <w:r>
        <w:rPr/>
        <w:t>For Chenglong, intellectual disability has a comprehensive impact on his development:</w:t>
      </w:r>
    </w:p>
    <w:p>
      <w:pPr>
        <w:pStyle w:val="Normal"/>
        <w:rPr/>
      </w:pPr>
      <w:r>
        <w:rPr>
          <w:b/>
          <w:bCs/>
        </w:rPr>
        <w:t>Cognitive development</w:t>
      </w:r>
      <w:r>
        <w:rPr/>
        <w:t>: His memory, attention, and logical thinking abilities are significantly impaired, making it difficult to master basic academic knowledge and learn new skills. He has a short attention span and is easily distracted, which affects his classroom learning efficiency.</w:t>
      </w:r>
    </w:p>
    <w:p>
      <w:pPr>
        <w:pStyle w:val="Normal"/>
        <w:rPr/>
      </w:pPr>
      <w:r>
        <w:rPr>
          <w:b/>
          <w:bCs/>
        </w:rPr>
        <w:t>Social development</w:t>
      </w:r>
      <w:r>
        <w:rPr/>
        <w:t>: Due to poor communication skills and peer discrimination, he has low self-esteem and social withdrawal, forming a negative cycle of “isolation → inferiority → further isolation.”</w:t>
      </w:r>
    </w:p>
    <w:p>
      <w:pPr>
        <w:pStyle w:val="Normal"/>
        <w:rPr/>
      </w:pPr>
      <w:r>
        <w:rPr>
          <w:b/>
          <w:bCs/>
        </w:rPr>
        <w:t>Emotional development</w:t>
      </w:r>
      <w:r>
        <w:rPr/>
        <w:t>: He lacks the ability to regulate emotions, is sensitive to the attitudes of others, and is prone to negative emotions such as depression and anxiety when encountering setbacks.</w:t>
      </w:r>
    </w:p>
    <w:p>
      <w:pPr>
        <w:pStyle w:val="Normal"/>
        <w:rPr/>
      </w:pPr>
      <w:r>
        <w:rPr>
          <w:b/>
          <w:bCs/>
        </w:rPr>
        <w:t>Adaptive development</w:t>
      </w:r>
      <w:r>
        <w:rPr/>
        <w:t>: His self-care ability lags behind that of his peers, and he cannot independently complete daily tasks such as organizing his schoolbag and maintaining personal hygiene, relying on the assistance of teachers and family members.</w:t>
      </w:r>
    </w:p>
    <w:p>
      <w:pPr>
        <w:pStyle w:val="2"/>
        <w:rPr/>
      </w:pPr>
      <w:r>
        <w:rPr/>
        <w:t>2.3 Theoretical Model Application</w:t>
      </w:r>
    </w:p>
    <w:p>
      <w:pPr>
        <w:pStyle w:val="3"/>
        <w:rPr/>
      </w:pPr>
      <w:r>
        <w:rPr/>
        <w:t>2.3.1 Bronfenbrenner’s Ecological Systems Theory</w:t>
      </w:r>
    </w:p>
    <w:p>
      <w:pPr>
        <w:pStyle w:val="Normal"/>
        <w:rPr/>
      </w:pPr>
      <w:r>
        <w:rPr/>
        <w:t>Bronfenbrenner’s Ecological Systems Theory holds that a child’s development is the result of the interaction between the individual and the surrounding environment, which is composed of five nested systems: microsystem, mesosystem, exosystem, macrosystem, and chronosystem (Bronfenbrenner, 1979). This model can effectively analyze the multi-level factors affecting Chenglong’s development:</w:t>
      </w:r>
    </w:p>
    <w:p>
      <w:pPr>
        <w:pStyle w:val="Normal"/>
        <w:rPr/>
      </w:pPr>
      <w:r>
        <w:rPr>
          <w:b/>
          <w:bCs/>
        </w:rPr>
        <w:t>Microsystem</w:t>
      </w:r>
      <w:r>
        <w:rPr/>
        <w:t>: The direct environment interacting with Chenglong, including family, school, and peers. His mother’s negative educational attitude, the teacher’s lack of professional support, and his classmates’ discrimination all have a direct negative impact on his development. For example, his mother’s criticism and scolding have strengthened his inferiority complex, and his classmates’ ridicule has made him more afraid to communicate.</w:t>
      </w:r>
    </w:p>
    <w:p>
      <w:pPr>
        <w:pStyle w:val="Normal"/>
        <w:rPr/>
      </w:pPr>
      <w:r>
        <w:rPr>
          <w:b/>
          <w:bCs/>
        </w:rPr>
        <w:t>Mesosystem</w:t>
      </w:r>
      <w:r>
        <w:rPr/>
        <w:t>: The interaction between microsystems. There is a lack of effective communication and cooperation between Chenglong’s family and school: the school does not timely feedback his performance to his mother, and his mother does not actively participate in his school education, resulting in inconsistent educational strategies and reduced intervention effects.</w:t>
      </w:r>
    </w:p>
    <w:p>
      <w:pPr>
        <w:pStyle w:val="Normal"/>
        <w:rPr/>
      </w:pPr>
      <w:r>
        <w:rPr>
          <w:b/>
          <w:bCs/>
        </w:rPr>
        <w:t>Exosystem</w:t>
      </w:r>
      <w:r>
        <w:rPr/>
        <w:t>: Indirect environmental factors that affect Chenglong, such as the school’s educational resources and social welfare policies. The school’s lack of special education resources (e.g., resource classrooms, professional teachers) and the inadequate implementation of social support policies for children with intellectual disabilities have indirectly restricted his development.</w:t>
      </w:r>
    </w:p>
    <w:p>
      <w:pPr>
        <w:pStyle w:val="Normal"/>
        <w:rPr/>
      </w:pPr>
      <w:r>
        <w:rPr>
          <w:b/>
          <w:bCs/>
        </w:rPr>
        <w:t>Macrosystem</w:t>
      </w:r>
      <w:r>
        <w:rPr/>
        <w:t>: The cultural and social values that permeate all systems. Traditional Chinese cultural concepts that “academic performance is the top priority” have led to the neglect of the educational needs of children with intellectual disabilities. Society generally holds a discriminatory attitude toward disabled children, which has created a negative cultural environment for Chenglong’s growth.</w:t>
      </w:r>
    </w:p>
    <w:p>
      <w:pPr>
        <w:pStyle w:val="Normal"/>
        <w:rPr/>
      </w:pPr>
      <w:r>
        <w:rPr>
          <w:b/>
          <w:bCs/>
        </w:rPr>
        <w:t>Chronosystem</w:t>
      </w:r>
      <w:r>
        <w:rPr/>
        <w:t>: Changes in the environment over time. Chenglong’s disability occurred at the age of 3, a critical period for brain development. The lack of timely rehabilitation training and educational intervention at that time led to the aggravation of his disability symptoms.</w:t>
      </w:r>
    </w:p>
    <w:p>
      <w:pPr>
        <w:pStyle w:val="3"/>
        <w:rPr/>
      </w:pPr>
      <w:r>
        <w:rPr/>
        <w:t>2.3.2 Vygotsky’s Zone of Proximal Development (ZPD)</w:t>
      </w:r>
    </w:p>
    <w:p>
      <w:pPr>
        <w:pStyle w:val="Normal"/>
        <w:rPr/>
      </w:pPr>
      <w:r>
        <w:rPr/>
        <w:t>Vygotsky’s Zone of Proximal Development refers to “the distance between the actual developmental level as determined by independent problem-solving and the level of potential development as determined by problem-solving under adult guidance or in collaboration with more capable peers” (Vygotsky, 1978). This theory provides a theoretical basis for formulating personalized inclusive education strategies for Chenglong:</w:t>
      </w:r>
    </w:p>
    <w:p>
      <w:pPr>
        <w:pStyle w:val="Normal"/>
        <w:rPr/>
      </w:pPr>
      <w:r>
        <w:rPr>
          <w:b/>
          <w:bCs/>
        </w:rPr>
        <w:t>Actual developmental level</w:t>
      </w:r>
      <w:r>
        <w:rPr/>
        <w:t>: Chenglong can recognize simple Chinese characters and complete 5</w:t>
      </w:r>
      <w:r>
        <w:rPr/>
        <w:t xml:space="preserve">以内 </w:t>
      </w:r>
      <w:r>
        <w:rPr/>
        <w:t>addition and subtraction independently. He can complete basic self-care tasks (e.g., dressing, eating) with reminders.</w:t>
      </w:r>
    </w:p>
    <w:p>
      <w:pPr>
        <w:pStyle w:val="Normal"/>
        <w:rPr/>
      </w:pPr>
      <w:r>
        <w:rPr>
          <w:b/>
          <w:bCs/>
        </w:rPr>
        <w:t>Potential developmental level</w:t>
      </w:r>
      <w:r>
        <w:rPr/>
        <w:t>: With the guidance of teachers or peers, he can master 10</w:t>
      </w:r>
      <w:r>
        <w:rPr/>
        <w:t xml:space="preserve">以内 </w:t>
      </w:r>
      <w:r>
        <w:rPr/>
        <w:t>addition and subtraction, independently organize his schoolbag, and communicate simple needs with others.</w:t>
      </w:r>
    </w:p>
    <w:p>
      <w:pPr>
        <w:pStyle w:val="Normal"/>
        <w:rPr/>
      </w:pPr>
      <w:r>
        <w:rPr>
          <w:b/>
          <w:bCs/>
        </w:rPr>
        <w:t>Scaffolding teaching strategy</w:t>
      </w:r>
      <w:r>
        <w:rPr/>
        <w:t>: Teachers can provide appropriate “scaffolding” according to Chenglong’s ZPD, such as breaking down learning tasks into small steps (e.g., learning to write a Chinese character by first tracing, then copying, and finally writing independently), and gradually reducing the guidance as he masters the skills. At the same time, arranging advanced peers to assist him in learning and communication can help him achieve potential development.</w:t>
      </w:r>
    </w:p>
    <w:p>
      <w:pPr>
        <w:pStyle w:val="2"/>
        <w:rPr/>
      </w:pPr>
      <w:r>
        <w:rPr/>
        <w:t>2.4 Cultural Perspective Considerations</w:t>
      </w:r>
    </w:p>
    <w:p>
      <w:pPr>
        <w:pStyle w:val="3"/>
        <w:rPr/>
      </w:pPr>
      <w:r>
        <w:rPr/>
        <w:t>2.4.1 Family Cultural Concepts</w:t>
      </w:r>
    </w:p>
    <w:p>
      <w:pPr>
        <w:pStyle w:val="Normal"/>
        <w:rPr/>
      </w:pPr>
      <w:r>
        <w:rPr/>
        <w:t>In traditional Chinese family culture, “raising children for old age” and “expecting children to become dragons” are common values. Chenglong’s mother, facing the pressure of life and the reality of her child’s disability, has a sense of powerlessness and disappointment, and even gives up on his education. This kind of negative family cultural attitude not only deprives Chenglong of the care and support he needs but also strengthens his sense of inferiority.</w:t>
      </w:r>
    </w:p>
    <w:p>
      <w:pPr>
        <w:pStyle w:val="Normal"/>
        <w:rPr/>
      </w:pPr>
      <w:r>
        <w:rPr/>
        <w:t>In addition, the concept of “face” in Chinese culture makes some families reluctant to admit that their children have disabilities, for fear of being looked down upon by others. Although Chenglong’s mother has accepted the diagnosis, she rarely communicates with others about her child’s situation, which makes Chenglong lose the opportunity to receive social support.</w:t>
      </w:r>
    </w:p>
    <w:p>
      <w:pPr>
        <w:pStyle w:val="3"/>
        <w:rPr/>
      </w:pPr>
      <w:r>
        <w:rPr/>
        <w:t>2.4.2 Social Stigma and Cultural Prejudice</w:t>
      </w:r>
    </w:p>
    <w:p>
      <w:pPr>
        <w:pStyle w:val="Normal"/>
        <w:rPr/>
      </w:pPr>
      <w:r>
        <w:rPr/>
        <w:t>Social stigma against children with intellectual disabilities is widespread in Chinese society. Many people hold the misunderstanding that “children with intellectual disabilities are stupid and cannot be educated,” which leads to discrimination against Chenglong in school and community. For example, his classmates ridicule him as “a fool,” and the community rarely organizes activities suitable for him to participate in.</w:t>
      </w:r>
    </w:p>
    <w:p>
      <w:pPr>
        <w:pStyle w:val="Normal"/>
        <w:rPr/>
      </w:pPr>
      <w:r>
        <w:rPr/>
        <w:t>This cultural prejudice not only affects Chenglong’s social integration but also restricts the development of inclusive education. Some schools are reluctant to accept children with intellectual disabilities for fear of affecting the school’s academic performance, and some teachers lack enthusiasm for inclusive education due to cultural stereotypes.</w:t>
      </w:r>
    </w:p>
    <w:p>
      <w:pPr>
        <w:pStyle w:val="3"/>
        <w:rPr/>
      </w:pPr>
      <w:r>
        <w:rPr/>
        <w:t>2.4.3 Language and Regional Cultural Characteristics</w:t>
      </w:r>
    </w:p>
    <w:p>
      <w:pPr>
        <w:pStyle w:val="Normal"/>
        <w:rPr/>
      </w:pPr>
      <w:r>
        <w:rPr/>
        <w:t>Chenglong lives in a county-level city in Guangdong, where the local dialect is widely used in daily life, while the school’s teaching language is Mandarin. For Chenglong, who has intellectual disability and limited language ability, the bilingual environment (dialect at home and Mandarin at school) increases his language processing burden, making it more difficult for him to understand the teacher’s lectures and communicate with peers.</w:t>
      </w:r>
    </w:p>
    <w:p>
      <w:pPr>
        <w:pStyle w:val="Normal"/>
        <w:rPr/>
      </w:pPr>
      <w:r>
        <w:rPr/>
        <w:t>In addition, the educational resources in rural and county-level areas are relatively scarce compared with big cities, and the concept of inclusive education is not popularized. The school and family lack the awareness and ability to carry out cultural sensitivity education, which further exacerbates Chenglong’s adaptation difficulties.</w:t>
      </w:r>
    </w:p>
    <w:p>
      <w:pPr>
        <w:pStyle w:val="2"/>
        <w:rPr/>
      </w:pPr>
      <w:r>
        <w:rPr/>
        <w:t>2.5 Legal Framework Alignment</w:t>
      </w:r>
    </w:p>
    <w:p>
      <w:pPr>
        <w:pStyle w:val="3"/>
        <w:rPr/>
      </w:pPr>
      <w:r>
        <w:rPr/>
        <w:t>2.5.1 Domestic Legislation</w:t>
      </w:r>
    </w:p>
    <w:p>
      <w:pPr>
        <w:pStyle w:val="4"/>
        <w:rPr/>
      </w:pPr>
      <w:r>
        <w:rPr/>
        <w:t>《中华人民共和国残疾人保障法》（</w:t>
      </w:r>
      <w:r>
        <w:rPr/>
        <w:t>2018</w:t>
      </w:r>
      <w:r>
        <w:rPr/>
        <w:t>年修正）</w:t>
      </w:r>
    </w:p>
    <w:p>
      <w:pPr>
        <w:pStyle w:val="Normal"/>
        <w:rPr/>
      </w:pPr>
      <w:r>
        <w:rPr/>
        <w:t>Article 21: “The state guarantees the right of persons with disabilities to education. The state shall, in accordance with the characteristics and needs of persons with disabilities, formulate educational policies and set up special education schools (classes) and other educational institutions to provide education for persons with disabilities.”</w:t>
      </w:r>
    </w:p>
    <w:p>
      <w:pPr>
        <w:pStyle w:val="Normal"/>
        <w:rPr/>
      </w:pPr>
      <w:r>
        <w:rPr/>
        <w:t>Article 22: “Persons with disabilities shall enjoy equal right to education as other citizens. Schools and other educational institutions shall not refuse to enroll persons with disabilities who meet the admission criteria of the state.”</w:t>
      </w:r>
    </w:p>
    <w:p>
      <w:pPr>
        <w:pStyle w:val="Normal"/>
        <w:rPr/>
      </w:pPr>
      <w:r>
        <w:rPr/>
        <w:t>Chenglong’s right to inclusive education is protected by this law. However, in practice, the school he attends has not provided him with personalized educational support, which violates the legislative spirit of “providing education according to the characteristics and needs of persons with disabilities.”</w:t>
      </w:r>
    </w:p>
    <w:p>
      <w:pPr>
        <w:pStyle w:val="4"/>
        <w:rPr/>
      </w:pPr>
      <w:r>
        <w:rPr/>
        <w:t>《残疾人教育条例》（</w:t>
      </w:r>
      <w:r>
        <w:rPr/>
        <w:t>2017</w:t>
      </w:r>
      <w:r>
        <w:rPr/>
        <w:t>年修订）</w:t>
      </w:r>
    </w:p>
    <w:p>
      <w:pPr>
        <w:pStyle w:val="Normal"/>
        <w:rPr/>
      </w:pPr>
      <w:r>
        <w:rPr/>
        <w:t>Article 19: “Schools shall formulate individualized education plans for students with disabilities in accordance with their disability types, degrees, and educational needs, and implement individualized teaching.”</w:t>
      </w:r>
    </w:p>
    <w:p>
      <w:pPr>
        <w:pStyle w:val="Normal"/>
        <w:rPr/>
      </w:pPr>
      <w:r>
        <w:rPr/>
        <w:t>Article 20: “Schools shall equip special education teachers and related professionals to provide educational and rehabilitation services for students with disabilities. Ordinary schools shall arrange teachers to receive special education training to improve their ability to carry out inclusive education.”</w:t>
      </w:r>
    </w:p>
    <w:p>
      <w:pPr>
        <w:pStyle w:val="Normal"/>
        <w:rPr/>
      </w:pPr>
      <w:r>
        <w:rPr/>
        <w:t>The school’s failure to formulate an IEP for Chenglong and the lack of special education training for teachers violate the specific provisions of this regulation.</w:t>
      </w:r>
    </w:p>
    <w:p>
      <w:pPr>
        <w:pStyle w:val="4"/>
        <w:rPr/>
      </w:pPr>
      <w:r>
        <w:rPr/>
        <w:t>《中华人民共和国教育法》（</w:t>
      </w:r>
      <w:r>
        <w:rPr/>
        <w:t>2021</w:t>
      </w:r>
      <w:r>
        <w:rPr/>
        <w:t>年修正）</w:t>
      </w:r>
    </w:p>
    <w:p>
      <w:pPr>
        <w:pStyle w:val="Normal"/>
        <w:rPr/>
      </w:pPr>
      <w:r>
        <w:rPr/>
        <w:t>Article 37: “Citizens of the People’s Republic of China shall have the right and obligation to receive education. All citizens, regardless of nationality, race, sex, occupation, property status, religious belief, etc., shall enjoy equal right to education in accordance with the law.”</w:t>
      </w:r>
    </w:p>
    <w:p>
      <w:pPr>
        <w:pStyle w:val="Normal"/>
        <w:rPr/>
      </w:pPr>
      <w:r>
        <w:rPr/>
        <w:t>This law clarifies the equal right to education of persons with disabilities, which provides a fundamental legal basis for Chenglong to attend ordinary schools and receive inclusive education.</w:t>
      </w:r>
    </w:p>
    <w:p>
      <w:pPr>
        <w:pStyle w:val="3"/>
        <w:rPr/>
      </w:pPr>
      <w:r>
        <w:rPr/>
        <w:t>2.5.2 International Conventions</w:t>
      </w:r>
    </w:p>
    <w:p>
      <w:pPr>
        <w:pStyle w:val="4"/>
        <w:rPr/>
      </w:pPr>
      <w:r>
        <w:rPr/>
        <w:t>《</w:t>
      </w:r>
      <w:r>
        <w:rPr/>
        <w:t>Convention on the Rights of the Child</w:t>
      </w:r>
      <w:r>
        <w:rPr/>
        <w:t>》（</w:t>
      </w:r>
      <w:r>
        <w:rPr/>
        <w:t>CRC, 1989</w:t>
      </w:r>
      <w:r>
        <w:rPr/>
        <w:t>）</w:t>
      </w:r>
    </w:p>
    <w:p>
      <w:pPr>
        <w:pStyle w:val="Normal"/>
        <w:rPr/>
      </w:pPr>
      <w:r>
        <w:rPr/>
        <w:t>Article 28: “States Parties recognize the right of the child to education, and with a view to achieving this right progressively and on the basis of equal opportunity, they shall, in particular: (a) Make primary education compulsory and available free to all; (b) Encourage the development of different forms of secondary education, including general and vocational education, make them available and accessible to every child, and take appropriate measures such as the introduction of free education and offering financial assistance in case of need.”</w:t>
      </w:r>
    </w:p>
    <w:p>
      <w:pPr>
        <w:pStyle w:val="Normal"/>
        <w:rPr/>
      </w:pPr>
      <w:r>
        <w:rPr/>
        <w:t>Article 29: “States Parties agree that the education of the child shall be directed to: (a) The development of the child’s personality, talents and mental and physical abilities to their fullest potential; (b) The development of respect for human rights and fundamental freedoms, and for the principles enshrined in the Charter of the United Nations.”</w:t>
      </w:r>
    </w:p>
    <w:p>
      <w:pPr>
        <w:pStyle w:val="Normal"/>
        <w:rPr/>
      </w:pPr>
      <w:r>
        <w:rPr/>
        <w:t>The convention emphasizes the equal right to education of children with disabilities and the need to develop their potential. Chenglong’s current educational situation (lack of personalized support) does not meet the requirements of the convention.</w:t>
      </w:r>
    </w:p>
    <w:p>
      <w:pPr>
        <w:pStyle w:val="4"/>
        <w:rPr/>
      </w:pPr>
      <w:r>
        <w:rPr/>
        <w:t>《</w:t>
      </w:r>
      <w:r>
        <w:rPr/>
        <w:t>Convention on the Rights of Persons with Disabilities</w:t>
      </w:r>
      <w:r>
        <w:rPr/>
        <w:t>》（</w:t>
      </w:r>
      <w:r>
        <w:rPr/>
        <w:t>CRPD, 2006</w:t>
      </w:r>
      <w:r>
        <w:rPr/>
        <w:t>）</w:t>
      </w:r>
    </w:p>
    <w:p>
      <w:pPr>
        <w:pStyle w:val="Normal"/>
        <w:rPr/>
      </w:pPr>
      <w:r>
        <w:rPr/>
        <w:t>Article 24: “States Parties recognize the right of persons with disabilities to education. With a view to realizing this right without discrimination and on the basis of equal opportunity, States Parties shall ensure an inclusive education system at all levels and lifelong learning directed to: (a) The full development of human potential and sense of dignity and self-worth, and the strengthening of respect for human rights, fundamental freedoms and human diversity; (b) The development by persons with disabilities of their personality, talents and creativity, as well as their mental and physical abilities, to their fullest potential; (c) Enabling persons with disabilities to participate effectively in a free society.”</w:t>
      </w:r>
    </w:p>
    <w:p>
      <w:pPr>
        <w:pStyle w:val="Normal"/>
        <w:rPr/>
      </w:pPr>
      <w:r>
        <w:rPr/>
        <w:t>The convention advocates for an inclusive education system, which requires Chenglong’s school to integrate him into the general education environment and provide him with necessary support, rather than simply placing him in the ordinary class without professional intervention.</w:t>
      </w:r>
    </w:p>
    <w:p>
      <w:pPr>
        <w:pStyle w:val="2"/>
        <w:rPr/>
      </w:pPr>
      <w:r>
        <w:rPr/>
        <w:t>2.6 Assistive Technology Application</w:t>
      </w:r>
    </w:p>
    <w:p>
      <w:pPr>
        <w:pStyle w:val="Normal"/>
        <w:rPr/>
      </w:pPr>
      <w:r>
        <w:rPr/>
        <w:t>Assistive technology refers to “any item, piece of equipment, or product system, whether acquired commercially off the shelf, modified, or customized, that is used to increase, maintain, or improve the functional capabilities of individuals with disabilities” (Technology-Related Assistance for Individuals with Disabilities Act, 1988). For Chenglong, the following assistive technologies can be applied to support his inclusive education:</w:t>
      </w:r>
    </w:p>
    <w:p>
      <w:pPr>
        <w:pStyle w:val="3"/>
        <w:rPr/>
      </w:pPr>
      <w:r>
        <w:rPr/>
        <w:t>2.6.1 Educational Assistive Technology</w:t>
      </w:r>
    </w:p>
    <w:p>
      <w:pPr>
        <w:pStyle w:val="Normal"/>
        <w:rPr/>
      </w:pPr>
      <w:r>
        <w:rPr>
          <w:b/>
          <w:bCs/>
        </w:rPr>
        <w:t>Picture Exchange Communication System (PECS)</w:t>
      </w:r>
      <w:r>
        <w:rPr/>
        <w:t>: PECS uses pictures to help learners with language barriers express their needs. Chenglong can use PECS cards to express needs such as “I want to drink water” and “I don’t understand,” which helps him communicate with teachers and peers and reduces his anxiety caused by inability to express.</w:t>
      </w:r>
    </w:p>
    <w:p>
      <w:pPr>
        <w:pStyle w:val="Normal"/>
        <w:rPr/>
      </w:pPr>
      <w:r>
        <w:rPr>
          <w:b/>
          <w:bCs/>
        </w:rPr>
        <w:t>Interactive Teaching Software</w:t>
      </w:r>
      <w:r>
        <w:rPr/>
        <w:t>: Using educational software designed for children with intellectual disabilities (e.g., “Happy Learning” series), which integrates text, pictures, and sounds to present learning content in a vivid and interesting way. For example, when learning mathematical operations, the software uses animation to demonstrate the process of addition and subtraction, which helps Chenglong understand and remember.</w:t>
      </w:r>
    </w:p>
    <w:p>
      <w:pPr>
        <w:pStyle w:val="Normal"/>
        <w:rPr/>
      </w:pPr>
      <w:r>
        <w:rPr>
          <w:b/>
          <w:bCs/>
        </w:rPr>
        <w:t>Adaptive Learning Tools</w:t>
      </w:r>
      <w:r>
        <w:rPr/>
        <w:t>: Equipping him with adaptive stationery, such as ergonomic pens and large-print textbooks, to reduce the difficulty of writing and reading and improve his learning confidence.</w:t>
      </w:r>
    </w:p>
    <w:p>
      <w:pPr>
        <w:pStyle w:val="3"/>
        <w:rPr/>
      </w:pPr>
      <w:r>
        <w:rPr/>
        <w:t>2.6.2 Daily Living Assistive Technology</w:t>
      </w:r>
    </w:p>
    <w:p>
      <w:pPr>
        <w:pStyle w:val="Normal"/>
        <w:rPr/>
      </w:pPr>
      <w:r>
        <w:rPr>
          <w:b/>
          <w:bCs/>
        </w:rPr>
        <w:t>Visual Reminder Cards</w:t>
      </w:r>
      <w:r>
        <w:rPr/>
        <w:t>: Making cards with pictures and simple text to remind Chenglong of daily tasks, such as “Organize schoolbag” and “Wash hands after meals.” The cards can be placed in his schoolbag and on the classroom desk to help him develop good living habits.</w:t>
      </w:r>
    </w:p>
    <w:p>
      <w:pPr>
        <w:pStyle w:val="Normal"/>
        <w:rPr/>
      </w:pPr>
      <w:r>
        <w:rPr>
          <w:b/>
          <w:bCs/>
        </w:rPr>
        <w:t>Adaptive Dining Tools</w:t>
      </w:r>
      <w:r>
        <w:rPr/>
        <w:t>: Equipping him with non-slip bowls and spoons to reduce spills when eating and improve his self-care ability.</w:t>
      </w:r>
    </w:p>
    <w:p>
      <w:pPr>
        <w:pStyle w:val="3"/>
        <w:rPr/>
      </w:pPr>
      <w:r>
        <w:rPr/>
        <w:t>2.6.3 Social Interaction Assistive Technology</w:t>
      </w:r>
    </w:p>
    <w:p>
      <w:pPr>
        <w:pStyle w:val="Normal"/>
        <w:rPr/>
      </w:pPr>
      <w:r>
        <w:rPr>
          <w:b/>
          <w:bCs/>
        </w:rPr>
        <w:t>Social Story Videos</w:t>
      </w:r>
      <w:r>
        <w:rPr/>
        <w:t>: Making short videos about social scenarios (e.g., “How to greet classmates” and “How to ask for help”) to help Chenglong learn social skills through observation and imitation. The videos can be played in class or after school, and teachers can guide him to practice the skills in real scenarios.</w:t>
      </w:r>
    </w:p>
    <w:p>
      <w:pPr>
        <w:pStyle w:val="Normal"/>
        <w:rPr/>
      </w:pPr>
      <w:r>
        <w:rPr/>
        <w:t>At present, Chenglong’s school has not applied any assistive technology, which is one of the important reasons for the poor effect of inclusive education.</w:t>
      </w:r>
    </w:p>
    <w:p>
      <w:pPr>
        <w:pStyle w:val="2"/>
        <w:rPr/>
      </w:pPr>
      <w:r>
        <w:rPr/>
        <w:t>2.7 Critique of Current Inclusive Education Practices</w:t>
      </w:r>
    </w:p>
    <w:p>
      <w:pPr>
        <w:pStyle w:val="3"/>
        <w:rPr/>
      </w:pPr>
      <w:r>
        <w:rPr/>
        <w:t>2.7.1 Lack of Personalized Educational Support</w:t>
      </w:r>
    </w:p>
    <w:p>
      <w:pPr>
        <w:pStyle w:val="Normal"/>
        <w:rPr/>
      </w:pPr>
      <w:r>
        <w:rPr/>
        <w:t>The school has not formulated an IEP for Chenglong, and the teaching content and methods are the same as those for ordinary students, which does not meet his cognitive level and learning needs. Teachers only provide simple after-school tutoring, without systematic intervention in his cognitive, social, and emotional development. This “one-size-fits-all” teaching model makes Chenglong unable to obtain effective learning experience and gradually loses interest in learning.</w:t>
      </w:r>
    </w:p>
    <w:p>
      <w:pPr>
        <w:pStyle w:val="3"/>
        <w:rPr/>
      </w:pPr>
      <w:r>
        <w:rPr/>
        <w:t>2.7.2 Inadequate Professionalization of Teachers</w:t>
      </w:r>
    </w:p>
    <w:p>
      <w:pPr>
        <w:pStyle w:val="Normal"/>
        <w:rPr/>
      </w:pPr>
      <w:r>
        <w:rPr/>
        <w:t>The teachers in Chenglong’s school have not received systematic special education training and lack the knowledge and skills to carry out inclusive education. They do not understand the characteristics of intellectual disability, cannot identify Chenglong’s emotional and behavioral signals in time, and cannot use effective intervention strategies when he has emotional problems or learning difficulties. For example, when Chenglong cries because of being ridiculed, the teacher only comforts him simply, without investigating the root cause or carrying out anti-discrimination education for his classmates.</w:t>
      </w:r>
    </w:p>
    <w:p>
      <w:pPr>
        <w:pStyle w:val="3"/>
        <w:rPr/>
      </w:pPr>
      <w:r>
        <w:rPr/>
        <w:t>2.7.3 Imperfect School Support System</w:t>
      </w:r>
    </w:p>
    <w:p>
      <w:pPr>
        <w:pStyle w:val="Normal"/>
        <w:rPr/>
      </w:pPr>
      <w:r>
        <w:rPr/>
        <w:t>The school has not established a resource classroom or a support team for inclusive education, and there is no special education teacher or psychologist to provide professional support for Chenglong. The school does not carry out inclusive education promotion activities, leading to a lack of understanding and acceptance of disabled students among teachers, students, and parents. This makes Chenglong in an isolated state in school and cannot integrate into the collective.</w:t>
      </w:r>
    </w:p>
    <w:p>
      <w:pPr>
        <w:pStyle w:val="3"/>
        <w:rPr/>
      </w:pPr>
      <w:r>
        <w:rPr/>
        <w:t>2.7.4 Inadequate Home-School Collaboration</w:t>
      </w:r>
    </w:p>
    <w:p>
      <w:pPr>
        <w:pStyle w:val="Normal"/>
        <w:rPr/>
      </w:pPr>
      <w:r>
        <w:rPr/>
        <w:t>There is a lack of effective communication and cooperation between the school and Chenglong’s mother. The school does not timely feedback his performance in school to his mother, and does not guide her to carry out family education and rehabilitation training. His mother lacks the knowledge and ability to educate children with intellectual disabilities, and the family cannot provide effective support for his development. The disconnection between home and school makes the effect of inclusive education greatly reduced.</w:t>
      </w:r>
    </w:p>
    <w:p>
      <w:pPr>
        <w:pStyle w:val="3"/>
        <w:rPr/>
      </w:pPr>
      <w:r>
        <w:rPr/>
        <w:t>2.7.5 Insufficient Implementation of Legislation</w:t>
      </w:r>
    </w:p>
    <w:p>
      <w:pPr>
        <w:pStyle w:val="Normal"/>
        <w:rPr/>
      </w:pPr>
      <w:r>
        <w:rPr/>
        <w:t>Although China has formulated a series of laws and regulations to protect the right to education of persons with disabilities, the implementation is not in place. The school has not fulfilled its obligation to provide personalized educational support for Chenglong, and the relevant government departments have not effectively supervised the implementation of inclusive education in the school. This leads to the fact that the legal rights of Chenglong and other children with disabilities cannot be effectively protected.</w:t>
      </w:r>
    </w:p>
    <w:p>
      <w:pPr>
        <w:pStyle w:val="2"/>
        <w:rPr/>
      </w:pPr>
      <w:r>
        <w:rPr/>
        <w:t>2.8 Improvement Suggestions</w:t>
      </w:r>
    </w:p>
    <w:p>
      <w:pPr>
        <w:pStyle w:val="3"/>
        <w:rPr/>
      </w:pPr>
      <w:r>
        <w:rPr/>
        <w:t>2.8.1 Formulate and Implement Individualized Education Plans (IEPs)</w:t>
      </w:r>
    </w:p>
    <w:p>
      <w:pPr>
        <w:pStyle w:val="Normal"/>
        <w:rPr/>
      </w:pPr>
      <w:r>
        <w:rPr/>
        <w:t>The school should establish an IEP team composed of special education teachers, general education teachers, psychologists, and Chenglong’s mother. The team should assess Chenglong’s developmental level and educational needs comprehensively, and formulate an IEP including learning goals, teaching content, intervention strategies, and evaluation methods. For example, in terms of academic learning, the goal can be set as “mastering 10</w:t>
      </w:r>
      <w:r>
        <w:rPr/>
        <w:t xml:space="preserve">以内 </w:t>
      </w:r>
      <w:r>
        <w:rPr/>
        <w:t>addition and subtraction within one semester”; in terms of social development, the goal can be set as “actively greeting at least two classmates every day.” The IEP should be revised regularly according to Chenglong’s progress.</w:t>
      </w:r>
    </w:p>
    <w:p>
      <w:pPr>
        <w:pStyle w:val="3"/>
        <w:rPr/>
      </w:pPr>
      <w:r>
        <w:rPr/>
        <w:t>2.8.2 Strengthen Teacher Training and Professional Development</w:t>
      </w:r>
    </w:p>
    <w:p>
      <w:pPr>
        <w:pStyle w:val="Normal"/>
        <w:rPr/>
      </w:pPr>
      <w:r>
        <w:rPr/>
        <w:t>The local education department should organize regular special education training for teachers in ordinary schools, covering the characteristics of intellectual disability, inclusive education strategies, IEP formulation, and assistive technology application. The school should encourage teachers to participate in special education seminars and exchanges, and invite special education experts to guide the school’s inclusive education work. At the same time, the school should equip a full-time special education teacher to work with general education teachers to carry out inclusive education for Chenglong.</w:t>
      </w:r>
    </w:p>
    <w:p>
      <w:pPr>
        <w:pStyle w:val="3"/>
        <w:rPr/>
      </w:pPr>
      <w:r>
        <w:rPr/>
        <w:t>2.8.3 Improve the School Support System</w:t>
      </w:r>
    </w:p>
    <w:p>
      <w:pPr>
        <w:pStyle w:val="Normal"/>
        <w:rPr/>
      </w:pPr>
      <w:r>
        <w:rPr>
          <w:b/>
          <w:bCs/>
        </w:rPr>
        <w:t>Establish a resource classroom</w:t>
      </w:r>
      <w:r>
        <w:rPr/>
        <w:t>: Equip the resource classroom with assistive technologies such as PECS cards, interactive teaching software, and sensory training tools, and arrange special education teachers to provide one-on-one tutoring and rehabilitation training for Chenglong after class.</w:t>
      </w:r>
    </w:p>
    <w:p>
      <w:pPr>
        <w:pStyle w:val="Normal"/>
        <w:rPr/>
      </w:pPr>
      <w:r>
        <w:rPr>
          <w:b/>
          <w:bCs/>
        </w:rPr>
        <w:t>Carry out inclusive education promotion activities</w:t>
      </w:r>
      <w:r>
        <w:rPr/>
        <w:t>: Hold theme class meetings on “respecting disabled students” and “inclusive education” to help students understand the difficulties of disabled peers and cultivate their sense of care and cooperation. Organize collective activities such as group games and handicraft production to encourage Chenglong to participate and enhance his sense of belonging.</w:t>
      </w:r>
    </w:p>
    <w:p>
      <w:pPr>
        <w:pStyle w:val="Normal"/>
        <w:rPr/>
      </w:pPr>
      <w:r>
        <w:rPr>
          <w:b/>
          <w:bCs/>
        </w:rPr>
        <w:t>Establish a peer support system</w:t>
      </w:r>
      <w:r>
        <w:rPr/>
        <w:t>: Arrange 2-3 enthusiastic and responsible classmates to form a support group for Chenglong, help him with his studies, accompany him to play games, and protect him from being ridiculed.</w:t>
      </w:r>
    </w:p>
    <w:p>
      <w:pPr>
        <w:pStyle w:val="3"/>
        <w:rPr/>
      </w:pPr>
      <w:r>
        <w:rPr/>
        <w:t>2.8.4 Strengthen Home-School Collaboration</w:t>
      </w:r>
    </w:p>
    <w:p>
      <w:pPr>
        <w:pStyle w:val="Normal"/>
        <w:rPr/>
      </w:pPr>
      <w:r>
        <w:rPr>
          <w:b/>
          <w:bCs/>
        </w:rPr>
        <w:t>Establish regular communication mechanisms</w:t>
      </w:r>
      <w:r>
        <w:rPr/>
        <w:t>: The school should hold monthly parent-teacher meetings to feedback Chenglong’s performance in school to his mother and understand his situation at home. Teachers can communicate with his mother through WeChat or phone calls every week to provide guidance on family education.</w:t>
      </w:r>
    </w:p>
    <w:p>
      <w:pPr>
        <w:pStyle w:val="Normal"/>
        <w:rPr/>
      </w:pPr>
      <w:r>
        <w:rPr>
          <w:b/>
          <w:bCs/>
        </w:rPr>
        <w:t>Provide family education guidance</w:t>
      </w:r>
      <w:r>
        <w:rPr/>
        <w:t>: The school should invite special education experts to give lectures to parents of disabled students, introduce the methods of educating children with intellectual disabilities, and help Chenglong’s mother establish a positive educational attitude. Provide her with relevant books and materials on special education to improve her educational ability.</w:t>
      </w:r>
    </w:p>
    <w:p>
      <w:pPr>
        <w:pStyle w:val="Normal"/>
        <w:rPr/>
      </w:pPr>
      <w:r>
        <w:rPr>
          <w:b/>
          <w:bCs/>
        </w:rPr>
        <w:t>Encourage family participation</w:t>
      </w:r>
      <w:r>
        <w:rPr/>
        <w:t>: Encourage Chenglong’s mother to participate in the school’s inclusive education activities, such as parent-teacher meetings and theme activities, to enhance her sense of participation and cooperation.</w:t>
      </w:r>
    </w:p>
    <w:p>
      <w:pPr>
        <w:pStyle w:val="3"/>
        <w:rPr/>
      </w:pPr>
      <w:r>
        <w:rPr/>
        <w:t>2.8.5 Strengthen the Implementation and Supervision of Legislation</w:t>
      </w:r>
    </w:p>
    <w:p>
      <w:pPr>
        <w:pStyle w:val="Normal"/>
        <w:rPr/>
      </w:pPr>
      <w:r>
        <w:rPr/>
        <w:t>The local education department should strengthen the supervision of the implementation of inclusive education in ordinary schools, conduct regular inspections on the enrollment of disabled students, the formulation of IEPs, and the allocation of special education resources. For schools that do not fulfill their obligations, administrative penalties should be imposed. At the same time, the government should increase investment in inclusive education, improve the allocation of special education resources in rural and county-level areas, and ensure that children with disabilities in all regions can enjoy equal right to education.</w:t>
      </w:r>
    </w:p>
    <w:p>
      <w:pPr>
        <w:pStyle w:val="Normal"/>
        <w:rPr/>
      </w:pPr>
      <w:r>
        <w:rPr/>
      </w:r>
    </w:p>
    <w:p>
      <w:pPr>
        <w:pStyle w:val="Normal"/>
        <w:pBdr>
          <w:bottom w:val="single" w:sz="6" w:space="1" w:color="000000"/>
        </w:pBdr>
        <w:rPr/>
      </w:pPr>
      <w:r>
        <w:rPr/>
      </w:r>
    </w:p>
    <w:p>
      <w:pPr>
        <w:pStyle w:val="1"/>
        <w:rPr/>
      </w:pPr>
      <w:r>
        <w:rPr/>
        <w:t>3. Case Study 2: Autism Spectrum Disorder (Afu)</w:t>
      </w:r>
    </w:p>
    <w:p>
      <w:pPr>
        <w:pStyle w:val="2"/>
        <w:rPr/>
      </w:pPr>
      <w:r>
        <w:rPr/>
        <w:t>3.1 Scenario Description</w:t>
      </w:r>
    </w:p>
    <w:p>
      <w:pPr>
        <w:pStyle w:val="Normal"/>
        <w:rPr/>
      </w:pPr>
      <w:r>
        <w:rPr/>
        <w:t>Afu, a 5-year-old boy, is a child with severe autism spectrum disorder (ASD) living in a city in Fujian Province. He was diagnosed with severe ASD at the age of 4, with typical symptoms such as social communication barriers, stereotyped behaviors, and sensory abnormalities.</w:t>
      </w:r>
    </w:p>
    <w:p>
      <w:pPr>
        <w:pStyle w:val="Normal"/>
        <w:rPr/>
      </w:pPr>
      <w:r>
        <w:rPr/>
        <w:t>Afu has no language expression ability and cannot communicate with others through words or gestures. He has no eye contact with his parents or teachers and does not respond to calls. When he has needs (such as hunger or discomfort), he can only express them through crying and screaming. He has severe stereotyped behaviors: he repeats clapping, shaking his body, and spinning around every day. If these behaviors are interrupted, he will have violent emotional outbursts, such as crying, screaming, and even biting others. He is extremely sensitive to sensory stimuli: he will cry loudly when he hears noisy sounds (such as car horns and loud talking), is afraid of strong light, and refuses to be touched by others.</w:t>
      </w:r>
    </w:p>
    <w:p>
      <w:pPr>
        <w:pStyle w:val="Normal"/>
        <w:rPr/>
      </w:pPr>
      <w:r>
        <w:rPr/>
        <w:t>Afu’s parents have given up their jobs to take care of him full-time. The family’s economic condition is relatively difficult due to the long-term payment of rehabilitation institution fees. His parents have a certain understanding of autism and take him to a private rehabilitation institution for intervention every day, but the effect is not obvious. At home, his parents mainly take care of his daily life and rarely carry out systematic behavioral intervention and language training, for fear of triggering his emotional outbursts.</w:t>
      </w:r>
    </w:p>
    <w:p>
      <w:pPr>
        <w:pStyle w:val="Normal"/>
        <w:rPr/>
      </w:pPr>
      <w:r>
        <w:rPr/>
        <w:t>Afu has not entered a regular kindergarten. The local public kindergartens refuse to enroll him on the grounds that “he cannot adapt to collective life and will affect other children.” The private rehabilitation institution he attends focuses on daily care and lacks professional inclusive education support. There is no interaction between him and other children in the institution, and he is always in a state of isolation.</w:t>
      </w:r>
    </w:p>
    <w:p>
      <w:pPr>
        <w:pStyle w:val="2"/>
        <w:rPr/>
      </w:pPr>
      <w:r>
        <w:rPr/>
        <w:t>3.2 Definition of Autism Spectrum Disorder and Impact on Development</w:t>
      </w:r>
    </w:p>
    <w:p>
      <w:pPr>
        <w:pStyle w:val="Normal"/>
        <w:rPr/>
      </w:pPr>
      <w:r>
        <w:rPr/>
        <w:t>According to DSM-5, autism spectrum disorder is “a neurodevelopmental disorder characterized by persistent deficits in social communication and social interaction across multiple contexts, and restricted, repetitive patterns of behavior, interests, or activities” (APA, 2013). Severe ASD is characterized by severe social communication barriers, obvious stereotyped behaviors, and significant impairment in adaptive functioning, requiring extensive support in daily life and social interaction.</w:t>
      </w:r>
    </w:p>
    <w:p>
      <w:pPr>
        <w:pStyle w:val="Normal"/>
        <w:rPr/>
      </w:pPr>
      <w:r>
        <w:rPr/>
        <w:t>For Afu, ASD has a profound impact on his development:</w:t>
      </w:r>
    </w:p>
    <w:p>
      <w:pPr>
        <w:pStyle w:val="Normal"/>
        <w:rPr/>
      </w:pPr>
      <w:r>
        <w:rPr>
          <w:b/>
          <w:bCs/>
        </w:rPr>
        <w:t>Social communication development</w:t>
      </w:r>
      <w:r>
        <w:rPr/>
        <w:t>: He has no ability to communicate with others, cannot understand the emotional signals and communication intentions of others, and cannot establish emotional connections with his parents or peers. This makes him unable to integrate into the collective and live in his own world for a long time.</w:t>
      </w:r>
    </w:p>
    <w:p>
      <w:pPr>
        <w:pStyle w:val="Normal"/>
        <w:rPr/>
      </w:pPr>
      <w:r>
        <w:rPr>
          <w:b/>
          <w:bCs/>
        </w:rPr>
        <w:t>Behavioral development</w:t>
      </w:r>
      <w:r>
        <w:rPr/>
        <w:t>: Severe stereotyped behaviors occupy most of his time and energy, affecting his learning and daily life. His emotional regulation ability is extremely poor, and emotional outbursts occur frequently, which brings great difficulties to family care and educational intervention.</w:t>
      </w:r>
    </w:p>
    <w:p>
      <w:pPr>
        <w:pStyle w:val="Normal"/>
        <w:rPr/>
      </w:pPr>
      <w:r>
        <w:rPr>
          <w:b/>
          <w:bCs/>
        </w:rPr>
        <w:t>Sensory development</w:t>
      </w:r>
      <w:r>
        <w:rPr/>
        <w:t>: Sensory abnormalities make him unable to adapt to the external environment. He is afraid of noise and light, refuses to be touched, which restricts his scope of activities and reduces his opportunity to contact the outside world.</w:t>
      </w:r>
    </w:p>
    <w:p>
      <w:pPr>
        <w:pStyle w:val="Normal"/>
        <w:rPr/>
      </w:pPr>
      <w:r>
        <w:rPr>
          <w:b/>
          <w:bCs/>
        </w:rPr>
        <w:t>Adaptive development</w:t>
      </w:r>
      <w:r>
        <w:rPr/>
        <w:t>: He has no self-care ability and cannot independently complete daily tasks such as eating, dressing, and going to the toilet, relying entirely on the care of his parents. He cannot adapt to the rules and routines of collective life, making it difficult for him to enter ordinary kindergartens and receive inclusive education.</w:t>
      </w:r>
    </w:p>
    <w:p>
      <w:pPr>
        <w:pStyle w:val="2"/>
        <w:rPr/>
      </w:pPr>
      <w:r>
        <w:rPr/>
        <w:t>3.3 Theoretical Model Application</w:t>
      </w:r>
    </w:p>
    <w:p>
      <w:pPr>
        <w:pStyle w:val="3"/>
        <w:rPr/>
      </w:pPr>
      <w:r>
        <w:rPr/>
        <w:t>3.3.1 Applied Behavior Analysis (ABA)</w:t>
      </w:r>
    </w:p>
    <w:p>
      <w:pPr>
        <w:pStyle w:val="Normal"/>
        <w:rPr/>
      </w:pPr>
      <w:r>
        <w:rPr/>
        <w:t>Applied Behavior Analysis (ABA) is a scientific method that uses the principles of operant conditioning to modify the behavior of individuals with disabilities (Baer, Wolf, &amp; Risley, 1968). ABA emphasizes that behavior is shaped by the environment, and positive reinforcement can be used to strengthen adaptive behaviors and reduce maladaptive behaviors. This model is widely used in the intervention of children with ASD:</w:t>
      </w:r>
    </w:p>
    <w:p>
      <w:pPr>
        <w:pStyle w:val="Normal"/>
        <w:rPr/>
      </w:pPr>
      <w:r>
        <w:rPr>
          <w:b/>
          <w:bCs/>
        </w:rPr>
        <w:t>Functional Behavior Assessment (FBA)</w:t>
      </w:r>
      <w:r>
        <w:rPr/>
        <w:t>: First, conduct an FBA on Afu’s stereotyped behaviors and emotional outbursts to identify the causes of the behaviors. For example, his spinning behavior may be to seek sensory stimulation, and his emotional outbursts may be due to the interruption of stereotyped behaviors or sensory discomfort.</w:t>
      </w:r>
    </w:p>
    <w:p>
      <w:pPr>
        <w:pStyle w:val="Normal"/>
        <w:rPr/>
      </w:pPr>
      <w:r>
        <w:rPr>
          <w:b/>
          <w:bCs/>
        </w:rPr>
        <w:t>Positive Reinforcement</w:t>
      </w:r>
      <w:r>
        <w:rPr/>
        <w:t>: Use positive reinforcement to strengthen Afu’s adaptive behaviors. For example, when he reduces spinning behavior and picks up toys to play, give him his favorite snacks or praise him in a gentle tone to encourage him to repeat the adaptive behavior.</w:t>
      </w:r>
    </w:p>
    <w:p>
      <w:pPr>
        <w:pStyle w:val="Normal"/>
        <w:rPr/>
      </w:pPr>
      <w:r>
        <w:rPr>
          <w:b/>
          <w:bCs/>
        </w:rPr>
        <w:t>Behavioral Intervention</w:t>
      </w:r>
      <w:r>
        <w:rPr/>
        <w:t>: For his stereotyped behaviors, use the “alternative behavior training” method to guide him to replace spinning with appropriate behaviors (such as clapping hands and then picking up toys). For his emotional outbursts, use the “extinction method” (ignoring minor emotional outbursts) and “distraction method” (using his favorite toys to transfer his attention) to reduce the frequency and intensity of emotional outbursts.</w:t>
      </w:r>
    </w:p>
    <w:p>
      <w:pPr>
        <w:pStyle w:val="3"/>
        <w:rPr/>
      </w:pPr>
      <w:r>
        <w:rPr/>
        <w:t>3.3.2 Social Learning Theory</w:t>
      </w:r>
    </w:p>
    <w:p>
      <w:pPr>
        <w:pStyle w:val="Normal"/>
        <w:rPr/>
      </w:pPr>
      <w:r>
        <w:rPr/>
        <w:t>Social Learning Theory, proposed by Bandura, holds that individuals learn behaviors through observation and imitation (Bandura, 1977). For children with ASD, who have deficits in social learning, this theory provides a theoretical basis for improving their social communication ability:</w:t>
      </w:r>
    </w:p>
    <w:p>
      <w:pPr>
        <w:pStyle w:val="Normal"/>
        <w:rPr/>
      </w:pPr>
      <w:r>
        <w:rPr>
          <w:b/>
          <w:bCs/>
        </w:rPr>
        <w:t>Modeling Learning</w:t>
      </w:r>
      <w:r>
        <w:rPr/>
        <w:t>: Arrange Afu to observe the social behaviors of his parents or peers, such as greeting, sharing toys, and expressing needs. For example, his parents can demonstrate how to use gestures to express “I want to eat” and guide him to imitate.</w:t>
      </w:r>
    </w:p>
    <w:p>
      <w:pPr>
        <w:pStyle w:val="Normal"/>
        <w:rPr/>
      </w:pPr>
      <w:r>
        <w:rPr>
          <w:b/>
          <w:bCs/>
        </w:rPr>
        <w:t>Vicarious Reinforcement</w:t>
      </w:r>
      <w:r>
        <w:rPr/>
        <w:t>: When Afu observes that his peers receive praise for positive social behaviors, he will be encouraged to try similar behaviors. For example, in the rehabilitation institution, when other children are praised for communicating with teachers, Afu will be guided to observe and imitate this behavior.</w:t>
      </w:r>
    </w:p>
    <w:p>
      <w:pPr>
        <w:pStyle w:val="Normal"/>
        <w:rPr/>
      </w:pPr>
      <w:r>
        <w:rPr>
          <w:b/>
          <w:bCs/>
        </w:rPr>
        <w:t>Behavioral Practice</w:t>
      </w:r>
      <w:r>
        <w:rPr/>
        <w:t>: Provide Afu with opportunities to practice social behaviors in real scenarios. For example, arrange him to play with other children under the guidance of teachers, and timely correct his inappropriate behaviors and strengthen his adaptive social behaviors.</w:t>
      </w:r>
    </w:p>
    <w:p>
      <w:pPr>
        <w:pStyle w:val="2"/>
        <w:rPr/>
      </w:pPr>
      <w:r>
        <w:rPr/>
        <w:t>3.4 Cultural Perspective Considerations</w:t>
      </w:r>
    </w:p>
    <w:p>
      <w:pPr>
        <w:pStyle w:val="3"/>
        <w:rPr/>
      </w:pPr>
      <w:r>
        <w:rPr/>
        <w:t>3.4.1 Family Cultural Burden and Coping Styles</w:t>
      </w:r>
    </w:p>
    <w:p>
      <w:pPr>
        <w:pStyle w:val="Normal"/>
        <w:rPr/>
      </w:pPr>
      <w:r>
        <w:rPr/>
        <w:t>In Chinese culture, the family bears the main responsibility for raising children. For families with children with ASD, the psychological and economic burden is extremely heavy. Afu’s parents have given up their jobs to take care of him, which not only brings economic pressure to the family but also makes them bear great psychological pressure. They are often in a state of anxiety and helplessness, and their confidence in their child’s rehabilitation is gradually reduced.</w:t>
      </w:r>
    </w:p>
    <w:p>
      <w:pPr>
        <w:pStyle w:val="Normal"/>
        <w:rPr/>
      </w:pPr>
      <w:r>
        <w:rPr/>
        <w:t>In addition, traditional Chinese cultural concepts that “children with disabilities are a family shame” make some families of children with ASD choose to hide their children’s situation and avoid contact with the outside world. Although Afu’s parents take him to receive rehabilitation intervention, they rarely take him to public places or let him interact with other children, which further restricts his social development.</w:t>
      </w:r>
    </w:p>
    <w:p>
      <w:pPr>
        <w:pStyle w:val="3"/>
        <w:rPr/>
      </w:pPr>
      <w:r>
        <w:rPr/>
        <w:t>3.4.2 Social Cognition and Acceptance of ASD</w:t>
      </w:r>
    </w:p>
    <w:p>
      <w:pPr>
        <w:pStyle w:val="Normal"/>
        <w:rPr/>
      </w:pPr>
      <w:r>
        <w:rPr/>
        <w:t>The social cognition of ASD in China is relatively backward. Many people have a lack of understanding of ASD and even hold misunderstandings that “children with ASD are mentally ill” or “they are deliberately mischievous.” This kind of misunderstanding leads to social discrimination against children with ASD and their families.</w:t>
      </w:r>
    </w:p>
    <w:p>
      <w:pPr>
        <w:pStyle w:val="Normal"/>
        <w:rPr/>
      </w:pPr>
      <w:r>
        <w:rPr/>
        <w:t>For example, the public kindergartens refuse to enroll Afu on the grounds that “he will affect other children,” which is a manifestation of social discrimination. The community rarely organizes activities suitable for children with ASD, and neighbors often look at Afu with strange eyes, which makes his parents feel isolated and helpless. This negative social environment not only affects the mental health of Afu’s family but also hinders the implementation of inclusive education for Afu.</w:t>
      </w:r>
    </w:p>
    <w:p>
      <w:pPr>
        <w:pStyle w:val="3"/>
        <w:rPr/>
      </w:pPr>
      <w:r>
        <w:rPr/>
        <w:t>3.4.3 Cultural Differences in the Understanding of Disability</w:t>
      </w:r>
    </w:p>
    <w:p>
      <w:pPr>
        <w:pStyle w:val="Normal"/>
        <w:rPr/>
      </w:pPr>
      <w:r>
        <w:rPr/>
        <w:t>There are significant cultural differences in the understanding of disability between China and Western countries. In Western countries, the “social model of disability” is widely advocated, which holds that disability is caused by the incompatibility between the individual and the environment, and the society should be responsible for creating an inclusive environment for persons with disabilities (Oliver, 1990). In China, the “medical model of disability” is still dominant, which holds that disability is an individual defect and the focus of intervention should be on the individual’s rehabilitation treatment.</w:t>
      </w:r>
    </w:p>
    <w:p>
      <w:pPr>
        <w:pStyle w:val="Normal"/>
        <w:rPr/>
      </w:pPr>
      <w:r>
        <w:rPr/>
        <w:t>This cultural difference affects the development of inclusive education for children with ASD in China. The focus of Afu’s rehabilitation institution is on individual rehabilitation treatment, rather than helping him adapt to the social environment and integrate into the collective. The school and society also lack the awareness of creating an inclusive environment for children with ASD, which makes it difficult for Afu to receive effective inclusive education.</w:t>
      </w:r>
    </w:p>
    <w:p>
      <w:pPr>
        <w:pStyle w:val="2"/>
        <w:rPr/>
      </w:pPr>
      <w:r>
        <w:rPr/>
        <w:t>3.5 Legal Framework Alignment</w:t>
      </w:r>
    </w:p>
    <w:p>
      <w:pPr>
        <w:pStyle w:val="3"/>
        <w:rPr/>
      </w:pPr>
      <w:r>
        <w:rPr/>
        <w:t>3.5.1 Domestic Legislation</w:t>
      </w:r>
    </w:p>
    <w:p>
      <w:pPr>
        <w:pStyle w:val="4"/>
        <w:rPr/>
      </w:pPr>
      <w:r>
        <w:rPr/>
        <w:t>《中华人民共和国残疾人保障法》（</w:t>
      </w:r>
      <w:r>
        <w:rPr/>
        <w:t>2018</w:t>
      </w:r>
      <w:r>
        <w:rPr/>
        <w:t>年修正）</w:t>
      </w:r>
    </w:p>
    <w:p>
      <w:pPr>
        <w:pStyle w:val="Normal"/>
        <w:rPr/>
      </w:pPr>
      <w:r>
        <w:rPr/>
        <w:t>Article 21: “The state shall, in accordance with the characteristics and needs of persons with disabilities, formulate educational policies and set up special education schools (classes) and other educational institutions to provide education for persons with disabilities. Ordinary schools shall admit persons with disabilities who can adapt to ordinary education, and shall not refuse to admit them on the grounds of disability.”</w:t>
      </w:r>
    </w:p>
    <w:p>
      <w:pPr>
        <w:pStyle w:val="Normal"/>
        <w:rPr/>
      </w:pPr>
      <w:r>
        <w:rPr/>
        <w:t>Afu has the right to receive inclusive education in ordinary kindergartens, and the public kindergartens’ refusal to enroll him violates this law.</w:t>
      </w:r>
    </w:p>
    <w:p>
      <w:pPr>
        <w:pStyle w:val="4"/>
        <w:rPr/>
      </w:pPr>
      <w:r>
        <w:rPr/>
        <w:t>《残疾人教育条例》（</w:t>
      </w:r>
      <w:r>
        <w:rPr/>
        <w:t>2017</w:t>
      </w:r>
      <w:r>
        <w:rPr/>
        <w:t>年修订）</w:t>
      </w:r>
    </w:p>
    <w:p>
      <w:pPr>
        <w:pStyle w:val="Normal"/>
        <w:rPr/>
      </w:pPr>
      <w:r>
        <w:rPr/>
        <w:t>Article 12: “Infant and toddler education institutions shall provide early education and rehabilitation services for infants and toddlers with disabilities. Ordinary infant and toddler education institutions shall admit infants and toddlers with disabilities who can adapt to their education and care conditions, and shall not refuse to admit them.”</w:t>
      </w:r>
    </w:p>
    <w:p>
      <w:pPr>
        <w:pStyle w:val="Normal"/>
        <w:rPr/>
      </w:pPr>
      <w:r>
        <w:rPr/>
        <w:t>Article 26: “Schools shall provide necessary support and assistance for students with disabilities in terms of teaching facilities, teaching methods, and teaching aids to meet their educational needs.”</w:t>
      </w:r>
    </w:p>
    <w:p>
      <w:pPr>
        <w:pStyle w:val="Normal"/>
        <w:rPr/>
      </w:pPr>
      <w:r>
        <w:rPr/>
        <w:t>The public kindergartens’ refusal to enroll Afu and the rehabilitation institution’s lack of educational support violate the provisions of this regulation.</w:t>
      </w:r>
    </w:p>
    <w:p>
      <w:pPr>
        <w:pStyle w:val="4"/>
        <w:rPr/>
      </w:pPr>
      <w:r>
        <w:rPr/>
        <w:t>《幼儿园教育指导纲要（试行）》（</w:t>
      </w:r>
      <w:r>
        <w:rPr/>
        <w:t>2001</w:t>
      </w:r>
      <w:r>
        <w:rPr/>
        <w:t>）</w:t>
      </w:r>
    </w:p>
    <w:p>
      <w:pPr>
        <w:pStyle w:val="Normal"/>
        <w:rPr/>
      </w:pPr>
      <w:r>
        <w:rPr/>
        <w:t>Article 2: “Kindergartens shall respect the personality and rights of each child, care for and love every child, and not discriminate against any child. For children with special needs, kindergartens shall provide them with appropriate education and support.”</w:t>
      </w:r>
    </w:p>
    <w:p>
      <w:pPr>
        <w:pStyle w:val="Normal"/>
        <w:rPr/>
      </w:pPr>
      <w:r>
        <w:rPr/>
        <w:t>This</w:t>
      </w:r>
      <w:r>
        <w:rPr/>
        <w:t xml:space="preserve">纲要 </w:t>
      </w:r>
      <w:r>
        <w:rPr/>
        <w:t>clarifies the obligation of kindergartens to carry out inclusive education for children with special needs, which provides a specific educational policy basis for Afu to enter ordinary kindergartens.</w:t>
      </w:r>
    </w:p>
    <w:p>
      <w:pPr>
        <w:pStyle w:val="3"/>
        <w:rPr/>
      </w:pPr>
      <w:r>
        <w:rPr/>
        <w:t>3.5.2 International Conventions</w:t>
      </w:r>
    </w:p>
    <w:p>
      <w:pPr>
        <w:pStyle w:val="4"/>
        <w:rPr/>
      </w:pPr>
      <w:r>
        <w:rPr/>
        <w:t>《</w:t>
      </w:r>
      <w:r>
        <w:rPr/>
        <w:t>Convention on the Rights of the Child</w:t>
      </w:r>
      <w:r>
        <w:rPr/>
        <w:t>》（</w:t>
      </w:r>
      <w:r>
        <w:rPr/>
        <w:t>CRC, 1989</w:t>
      </w:r>
      <w:r>
        <w:rPr/>
        <w:t>）</w:t>
      </w:r>
    </w:p>
    <w:p>
      <w:pPr>
        <w:pStyle w:val="Normal"/>
        <w:rPr/>
      </w:pPr>
      <w:r>
        <w:rPr/>
        <w:t>Article 23: “States Parties recognize that a mentally or physically disabled child should enjoy a full and decent life, in conditions which ensure dignity, promote self-reliance and facilitate the child’s active participation in the community.”</w:t>
      </w:r>
    </w:p>
    <w:p>
      <w:pPr>
        <w:pStyle w:val="Normal"/>
        <w:rPr/>
      </w:pPr>
      <w:r>
        <w:rPr/>
        <w:t>Article 28: “States Parties recognize the right of the child to education, and with a view to achieving this right progressively and on the basis of equal opportunity, they shall, in particular, make primary education compulsory and available free to all.”</w:t>
      </w:r>
    </w:p>
    <w:p>
      <w:pPr>
        <w:pStyle w:val="Normal"/>
        <w:rPr/>
      </w:pPr>
      <w:r>
        <w:rPr/>
        <w:t>The convention emphasizes that children with disabilities should enjoy equal right to education and the right to participate in the community. Afu’s current situation (unable to enter ordinary kindergartens and lack of social interaction opportunities) does not meet the requirements of the convention.</w:t>
      </w:r>
    </w:p>
    <w:p>
      <w:pPr>
        <w:pStyle w:val="4"/>
        <w:rPr/>
      </w:pPr>
      <w:r>
        <w:rPr/>
        <w:t>《</w:t>
      </w:r>
      <w:r>
        <w:rPr/>
        <w:t>Convention on the Rights of Persons with Disabilities</w:t>
      </w:r>
      <w:r>
        <w:rPr/>
        <w:t>》（</w:t>
      </w:r>
      <w:r>
        <w:rPr/>
        <w:t>CRPD, 2006</w:t>
      </w:r>
      <w:r>
        <w:rPr/>
        <w:t>）</w:t>
      </w:r>
    </w:p>
    <w:p>
      <w:pPr>
        <w:pStyle w:val="Normal"/>
        <w:rPr/>
      </w:pPr>
      <w:r>
        <w:rPr/>
        <w:t>Article 24: “States Parties shall ensure that persons with disabilities are not excluded from the general education system on the basis of disability, and that children with disabilities are not excluded from free and compulsory primary education, or from secondary education, on the basis of disability.”</w:t>
      </w:r>
    </w:p>
    <w:p>
      <w:pPr>
        <w:pStyle w:val="Normal"/>
        <w:rPr/>
      </w:pPr>
      <w:r>
        <w:rPr/>
        <w:t>Article 25: “States Parties recognize that persons with disabilities have the right to the enjoyment of the highest attainable standard of health without discrimination on the basis of disability.”</w:t>
      </w:r>
    </w:p>
    <w:p>
      <w:pPr>
        <w:pStyle w:val="Normal"/>
        <w:rPr/>
      </w:pPr>
      <w:r>
        <w:rPr/>
        <w:t>The convention requires that persons with disabilities should not be excluded from the general education system, and the state should ensure their right to health and education. The public kindergartens’ refusal to enroll Afu and the lack of integrated education and rehabilitation services violate the provisions of the convention.</w:t>
      </w:r>
    </w:p>
    <w:p>
      <w:pPr>
        <w:pStyle w:val="2"/>
        <w:rPr/>
      </w:pPr>
      <w:r>
        <w:rPr/>
        <w:t>3.6 Assistive Technology Application</w:t>
      </w:r>
    </w:p>
    <w:p>
      <w:pPr>
        <w:pStyle w:val="Normal"/>
        <w:rPr/>
      </w:pPr>
      <w:r>
        <w:rPr/>
        <w:t>For children with severe ASD such as Afu, assistive technology can effectively help them improve their social communication ability, reduce stereotyped behaviors, and adapt to the environment. The following assistive technologies can be applied:</w:t>
      </w:r>
    </w:p>
    <w:p>
      <w:pPr>
        <w:pStyle w:val="3"/>
        <w:rPr/>
      </w:pPr>
      <w:r>
        <w:rPr/>
        <w:t>3.6.1 Communication Assistive Technology</w:t>
      </w:r>
    </w:p>
    <w:p>
      <w:pPr>
        <w:pStyle w:val="Normal"/>
        <w:rPr/>
      </w:pPr>
      <w:r>
        <w:rPr>
          <w:b/>
          <w:bCs/>
        </w:rPr>
        <w:t>Picture Exchange Communication System (PECS)</w:t>
      </w:r>
      <w:r>
        <w:rPr/>
        <w:t>: PECS is one of the most widely used communication tools for children with ASD. For Afu, who has no language ability, PECS cards can be used to help him express his needs (such as “I want to eat” “I want to play” “I’m not comfortable”). Teachers and parents can guide him to select the corresponding cards to communicate, which reduces his anxiety caused by inability to express and improves his communication ability.</w:t>
      </w:r>
    </w:p>
    <w:p>
      <w:pPr>
        <w:pStyle w:val="Normal"/>
        <w:rPr/>
      </w:pPr>
      <w:r>
        <w:rPr>
          <w:b/>
          <w:bCs/>
        </w:rPr>
        <w:t>Augmentative and Alternative Communication (AAC) Devices</w:t>
      </w:r>
      <w:r>
        <w:rPr/>
        <w:t>: Using AAC devices (such as tablets with communication software), which can convert pictures or text into sounds. Afu can select pictures on the tablet to express his needs, and the device will play the corresponding sounds, helping him communicate with others more effectively.</w:t>
      </w:r>
    </w:p>
    <w:p>
      <w:pPr>
        <w:pStyle w:val="3"/>
        <w:rPr/>
      </w:pPr>
      <w:r>
        <w:rPr/>
        <w:t>3.6.2 Behavioral Intervention Assistive Technology</w:t>
      </w:r>
    </w:p>
    <w:p>
      <w:pPr>
        <w:pStyle w:val="Normal"/>
        <w:rPr/>
      </w:pPr>
      <w:r>
        <w:rPr>
          <w:b/>
          <w:bCs/>
        </w:rPr>
        <w:t>Sensory Integration Training Tools</w:t>
      </w:r>
      <w:r>
        <w:rPr/>
        <w:t>: Afu has sensory abnormalities, and sensory integration training tools can be used to help him improve his sensory processing ability. For example, using a sensory swing to help him relieve anxiety and reduce stereotyped behaviors; using soft tactile toys to help him adapt to tactile stimulation and reduce his resistance to being touched.</w:t>
      </w:r>
    </w:p>
    <w:p>
      <w:pPr>
        <w:pStyle w:val="Normal"/>
        <w:rPr/>
      </w:pPr>
      <w:r>
        <w:rPr>
          <w:b/>
          <w:bCs/>
        </w:rPr>
        <w:t>Visual Schedule Boards</w:t>
      </w:r>
      <w:r>
        <w:rPr/>
        <w:t>: Making a visual schedule board with pictures to show Afu’s daily activities (such as “Get up → Wash face → Eat breakfast → Go to rehabilitation institution”). The schedule board helps him understand the sequence of activities, reduces his anxiety caused by changes, and improves his adaptability to daily life.</w:t>
      </w:r>
    </w:p>
    <w:p>
      <w:pPr>
        <w:pStyle w:val="3"/>
        <w:rPr/>
      </w:pPr>
      <w:r>
        <w:rPr/>
        <w:t>3.6.3 Environmental Adaptation Assistive Technology</w:t>
      </w:r>
    </w:p>
    <w:p>
      <w:pPr>
        <w:pStyle w:val="Normal"/>
        <w:rPr/>
      </w:pPr>
      <w:r>
        <w:rPr>
          <w:b/>
          <w:bCs/>
        </w:rPr>
        <w:t>Noise-Canceling Headphones</w:t>
      </w:r>
      <w:r>
        <w:rPr/>
        <w:t>: Afu is sensitive to noise, and noise-canceling headphones can help him block out noisy sounds in the environment (such as car horns, loud talking), reducing his emotional outbursts caused by sensory discomfort.</w:t>
      </w:r>
    </w:p>
    <w:p>
      <w:pPr>
        <w:pStyle w:val="Normal"/>
        <w:rPr/>
      </w:pPr>
      <w:r>
        <w:rPr>
          <w:b/>
          <w:bCs/>
        </w:rPr>
        <w:t>Dimmable Lights</w:t>
      </w:r>
      <w:r>
        <w:rPr/>
        <w:t>: Installing dimmable lights at home and in the rehabilitation institution to adjust the light intensity according to Afu’s needs, avoiding strong light stimulation and reducing his fear of light.</w:t>
      </w:r>
    </w:p>
    <w:p>
      <w:pPr>
        <w:pStyle w:val="Normal"/>
        <w:rPr/>
      </w:pPr>
      <w:r>
        <w:rPr/>
        <w:t>At present, the rehabilitation institution Afu attends only uses simple sensory integration training tools, and does not fully apply communication assistive technology and environmental adaptation assistive technology, which limits the effect of intervention.</w:t>
      </w:r>
    </w:p>
    <w:p>
      <w:pPr>
        <w:pStyle w:val="2"/>
        <w:rPr/>
      </w:pPr>
      <w:r>
        <w:rPr/>
        <w:t>3.7 Critique of Current Inclusive Education Practices</w:t>
      </w:r>
    </w:p>
    <w:p>
      <w:pPr>
        <w:pStyle w:val="3"/>
        <w:rPr/>
      </w:pPr>
      <w:r>
        <w:rPr/>
        <w:t>3.7.1 Exclusion from the General Education System</w:t>
      </w:r>
    </w:p>
    <w:p>
      <w:pPr>
        <w:pStyle w:val="Normal"/>
        <w:rPr/>
      </w:pPr>
      <w:r>
        <w:rPr/>
        <w:t>Public kindergartens refuse to enroll Afu on the grounds that “he cannot adapt to collective life,” which is a serious violation of the right to inclusive education of children with ASD. This kind of exclusion not only deprives Afu of the opportunity to receive formal education but also makes him lose the opportunity to interact with ordinary children, further exacerbating his social isolation.</w:t>
      </w:r>
    </w:p>
    <w:p>
      <w:pPr>
        <w:pStyle w:val="3"/>
        <w:rPr/>
      </w:pPr>
      <w:r>
        <w:rPr/>
        <w:t>3.7.2 Lack of Integrated Education and Rehabilitation Services</w:t>
      </w:r>
    </w:p>
    <w:p>
      <w:pPr>
        <w:pStyle w:val="Normal"/>
        <w:rPr/>
      </w:pPr>
      <w:r>
        <w:rPr/>
        <w:t>The rehabilitation institution Afu attends focuses on daily care and simple rehabilitation training, lacking the integration of education and rehabilitation. The institution does not have professional special education teachers, cannot formulate personalized educational plans for Afu, and cannot carry out systematic social communication training and behavioral intervention for him. This makes the intervention work lack pertinence and effectiveness, and Afu’s development progress is slow.</w:t>
      </w:r>
    </w:p>
    <w:p>
      <w:pPr>
        <w:pStyle w:val="3"/>
        <w:rPr/>
      </w:pPr>
      <w:r>
        <w:rPr/>
        <w:t>3.7.3 Inadequate Professionalization of Practitioners</w:t>
      </w:r>
    </w:p>
    <w:p>
      <w:pPr>
        <w:pStyle w:val="Normal"/>
        <w:rPr/>
      </w:pPr>
      <w:r>
        <w:rPr/>
        <w:t>The teachers and rehabilitation therapists in the institution have not received systematic training on ASD intervention, lacking the knowledge and skills to use ABA, social learning theory, and assistive technology. They cannot accurately assess Afu’s needs, cannot design scientific intervention plans, and cannot effectively handle his emotional outbursts. For example, when Afu has an emotional outburst due to sensory discomfort, the therapists only comfort him simply, without taking targeted sensory intervention measures.</w:t>
      </w:r>
    </w:p>
    <w:p>
      <w:pPr>
        <w:pStyle w:val="3"/>
        <w:rPr/>
      </w:pPr>
      <w:r>
        <w:rPr/>
        <w:t>3.7.4 Inadequate Home-School (Institution) Collaboration</w:t>
      </w:r>
    </w:p>
    <w:p>
      <w:pPr>
        <w:pStyle w:val="Normal"/>
        <w:rPr/>
      </w:pPr>
      <w:r>
        <w:rPr/>
        <w:t>There is a lack of effective communication and cooperation between Afu’s parents and the rehabilitation institution. The institution does not timely feedback Afu’s progress to his parents, and does not guide them to carry out intervention training at home. Afu’s parents lack the knowledge and skills to carry out ABA intervention and communication training, and can only take care of his daily life, unable to provide effective support for his development. The disconnection between home and institution makes the effect of intervention greatly reduced.</w:t>
      </w:r>
    </w:p>
    <w:p>
      <w:pPr>
        <w:pStyle w:val="3"/>
        <w:rPr/>
      </w:pPr>
      <w:r>
        <w:rPr/>
        <w:t>3.7.5 Imperfect Social Support System</w:t>
      </w:r>
    </w:p>
    <w:p>
      <w:pPr>
        <w:pStyle w:val="Normal"/>
        <w:rPr/>
      </w:pPr>
      <w:r>
        <w:rPr/>
        <w:t>The social support system for children with ASD in China is not perfect. The government’s investment in autism rehabilitation and inclusive education is insufficient, and there are few professional rehabilitation institutions and inclusive education schools. The community lacks support services for children with ASD, such as social interaction platforms and family support groups. This makes Afu’s family face great difficulties in seeking help, and Afu cannot receive comprehensive and effective support.</w:t>
      </w:r>
    </w:p>
    <w:p>
      <w:pPr>
        <w:pStyle w:val="2"/>
        <w:rPr/>
      </w:pPr>
      <w:r>
        <w:rPr/>
        <w:t>3.8 Improvement Suggestions</w:t>
      </w:r>
    </w:p>
    <w:p>
      <w:pPr>
        <w:pStyle w:val="3"/>
        <w:rPr/>
      </w:pPr>
      <w:r>
        <w:rPr/>
        <w:t>3.8.1 Promote the Inclusive Enrollment of Children with ASD</w:t>
      </w:r>
    </w:p>
    <w:p>
      <w:pPr>
        <w:pStyle w:val="Normal"/>
        <w:rPr/>
      </w:pPr>
      <w:r>
        <w:rPr>
          <w:b/>
          <w:bCs/>
        </w:rPr>
        <w:t>Strengthen legal enforcement</w:t>
      </w:r>
      <w:r>
        <w:rPr/>
        <w:t>: The local education department should strengthen the supervision of kindergartens, order public kindergartens to accept Afu and other children with ASD who can adapt to collective life, and impose administrative penalties on kindergartens that refuse to enroll them.</w:t>
      </w:r>
    </w:p>
    <w:p>
      <w:pPr>
        <w:pStyle w:val="Normal"/>
        <w:rPr/>
      </w:pPr>
      <w:r>
        <w:rPr>
          <w:b/>
          <w:bCs/>
        </w:rPr>
        <w:t>Carry out inclusive education transformation in kindergartens</w:t>
      </w:r>
      <w:r>
        <w:rPr/>
        <w:t>: Guide kindergartens to carry out inclusive education transformation, including improving teaching facilities (such as setting up sensory corners), training teachers, and formulating inclusive education policies. For Afu, the kindergarten can arrange a special education teacher to accompany him to attend classes, provide one-on-one support, and help him adapt to collective life.</w:t>
      </w:r>
    </w:p>
    <w:p>
      <w:pPr>
        <w:pStyle w:val="3"/>
        <w:rPr/>
      </w:pPr>
      <w:r>
        <w:rPr/>
        <w:t>3.8.2 Establish an Integrated Education and Rehabilitation System</w:t>
      </w:r>
    </w:p>
    <w:p>
      <w:pPr>
        <w:pStyle w:val="Normal"/>
        <w:rPr/>
      </w:pPr>
      <w:r>
        <w:rPr>
          <w:b/>
          <w:bCs/>
        </w:rPr>
        <w:t>Integrate education and rehabilitation services</w:t>
      </w:r>
      <w:r>
        <w:rPr/>
        <w:t>: The rehabilitation institution should cooperate with special education schools to establish an integrated education and rehabilitation system, equip professional special education teachers and rehabilitation therapists, and formulate personalized integrated plans for Afu, including academic learning, social communication training, behavioral intervention, and sensory integration training.</w:t>
      </w:r>
    </w:p>
    <w:p>
      <w:pPr>
        <w:pStyle w:val="Normal"/>
        <w:rPr/>
      </w:pPr>
      <w:r>
        <w:rPr>
          <w:b/>
          <w:bCs/>
        </w:rPr>
        <w:t>Strengthen the application of assistive technology</w:t>
      </w:r>
      <w:r>
        <w:rPr/>
        <w:t>: The institution should equip a variety of assistive technologies, such as PECS, AAC devices, and sensory integration training tools, and train teachers and parents to use these technologies to improve the effect of intervention.</w:t>
      </w:r>
    </w:p>
    <w:p>
      <w:pPr>
        <w:pStyle w:val="3"/>
        <w:rPr/>
      </w:pPr>
      <w:r>
        <w:rPr/>
        <w:t>3.8.3 Strengthen the Professional Development of Practitioners</w:t>
      </w:r>
    </w:p>
    <w:p>
      <w:pPr>
        <w:pStyle w:val="Normal"/>
        <w:rPr/>
      </w:pPr>
      <w:r>
        <w:rPr>
          <w:b/>
          <w:bCs/>
        </w:rPr>
        <w:t>Carry out professional training</w:t>
      </w:r>
      <w:r>
        <w:rPr/>
        <w:t>: The local health and education departments should organize regular training on ASD intervention for teachers and rehabilitation therapists, covering ABA, social learning theory, assistive technology application, and emotional management. Invite domestic and foreign experts to give lectures and guidance to improve the professional level of practitioners.</w:t>
      </w:r>
    </w:p>
    <w:p>
      <w:pPr>
        <w:pStyle w:val="Normal"/>
        <w:rPr/>
      </w:pPr>
      <w:r>
        <w:rPr>
          <w:b/>
          <w:bCs/>
        </w:rPr>
        <w:t>Establish a professional certification system</w:t>
      </w:r>
      <w:r>
        <w:rPr/>
        <w:t>: Establish a professional certification system for ASD intervention practitioners, requiring practitioners to obtain relevant certificates before taking up their posts, ensuring the quality of intervention services.</w:t>
      </w:r>
    </w:p>
    <w:p>
      <w:pPr>
        <w:pStyle w:val="3"/>
        <w:rPr/>
      </w:pPr>
      <w:r>
        <w:rPr/>
        <w:t>3.8.4 Strengthen Home-Institution Collaboration</w:t>
      </w:r>
    </w:p>
    <w:p>
      <w:pPr>
        <w:pStyle w:val="Normal"/>
        <w:rPr/>
      </w:pPr>
      <w:r>
        <w:rPr>
          <w:b/>
          <w:bCs/>
        </w:rPr>
        <w:t>Establish a regular communication mechanism</w:t>
      </w:r>
      <w:r>
        <w:rPr/>
        <w:t>: The institution should hold monthly parent-teacher meetings to feedback Afu’s progress to his parents and understand his situation at home. Therapists can communicate with his parents through WeChat or phone calls every week to provide guidance on family intervention.</w:t>
      </w:r>
    </w:p>
    <w:p>
      <w:pPr>
        <w:pStyle w:val="Normal"/>
        <w:rPr/>
      </w:pPr>
      <w:r>
        <w:rPr>
          <w:b/>
          <w:bCs/>
        </w:rPr>
        <w:t>Provide family training</w:t>
      </w:r>
      <w:r>
        <w:rPr/>
        <w:t>: The institution should organize regular family training courses to teach Afu’s parents ABA intervention methods, communication training skills, and emotional management strategies. Provide them with relevant books and materials to help them carry out effective intervention at home.</w:t>
      </w:r>
    </w:p>
    <w:p>
      <w:pPr>
        <w:pStyle w:val="Normal"/>
        <w:rPr/>
      </w:pPr>
      <w:r>
        <w:rPr>
          <w:b/>
          <w:bCs/>
        </w:rPr>
        <w:t>Encourage family participation</w:t>
      </w:r>
      <w:r>
        <w:rPr/>
        <w:t>: Encourage Afu’s parents to participate in the institution’s intervention activities, such as observing therapy sessions and participating in parent-child training, to enhance their sense of participation and cooperation.</w:t>
      </w:r>
    </w:p>
    <w:p>
      <w:pPr>
        <w:pStyle w:val="3"/>
        <w:rPr/>
      </w:pPr>
      <w:r>
        <w:rPr/>
        <w:t>3.8.5 Improve the Social Support System</w:t>
      </w:r>
    </w:p>
    <w:p>
      <w:pPr>
        <w:pStyle w:val="Normal"/>
        <w:rPr/>
      </w:pPr>
      <w:r>
        <w:rPr>
          <w:b/>
          <w:bCs/>
        </w:rPr>
        <w:t>Increase government investment</w:t>
      </w:r>
      <w:r>
        <w:rPr/>
        <w:t>: The government should increase investment in autism rehabilitation and inclusive education, support the construction of professional rehabilitation institutions and inclusive education schools, and improve the allocation of resources. Provide financial subsidies for families of children with ASD to reduce their economic burden.</w:t>
      </w:r>
    </w:p>
    <w:p>
      <w:pPr>
        <w:pStyle w:val="Normal"/>
        <w:rPr/>
      </w:pPr>
      <w:r>
        <w:rPr>
          <w:b/>
          <w:bCs/>
        </w:rPr>
        <w:t>Strengthen social publicity and education</w:t>
      </w:r>
      <w:r>
        <w:rPr/>
        <w:t>: Carry out social publicity and education activities through media such as TV, radio, and the Internet to popularize knowledge about ASD, eliminate social discrimination, and create an inclusive social environment. Establish community support groups for children with ASD to provide a platform for social interaction and family communication.</w:t>
      </w:r>
    </w:p>
    <w:p>
      <w:pPr>
        <w:pStyle w:val="Normal"/>
        <w:rPr/>
      </w:pPr>
      <w:r>
        <w:rPr/>
      </w:r>
    </w:p>
    <w:p>
      <w:pPr>
        <w:pStyle w:val="Normal"/>
        <w:pBdr>
          <w:bottom w:val="single" w:sz="6" w:space="1" w:color="000000"/>
        </w:pBdr>
        <w:rPr/>
      </w:pPr>
      <w:r>
        <w:rPr/>
      </w:r>
    </w:p>
    <w:p>
      <w:pPr>
        <w:pStyle w:val="1"/>
        <w:rPr/>
      </w:pPr>
      <w:r>
        <w:rPr/>
        <w:t>4. Comparative Analysis of Inclusive Education Strategies</w:t>
      </w:r>
    </w:p>
    <w:p>
      <w:pPr>
        <w:pStyle w:val="2"/>
        <w:rPr/>
      </w:pPr>
      <w:r>
        <w:rPr/>
        <w:t>4.1 Similarities in Inclusive Education Strategies</w:t>
      </w:r>
    </w:p>
    <w:p>
      <w:pPr>
        <w:pStyle w:val="3"/>
        <w:rPr/>
      </w:pPr>
      <w:r>
        <w:rPr/>
        <w:t>4.1.1 Theoretical Model Application</w:t>
      </w:r>
    </w:p>
    <w:p>
      <w:pPr>
        <w:pStyle w:val="Normal"/>
        <w:rPr/>
      </w:pPr>
      <w:r>
        <w:rPr/>
        <w:t>Both cases adopt the “individual-centered” theoretical model, emphasizing the importance of personalized intervention. For Xiong Chenglong (intellectual disability), Bronfenbrenner’s Ecological Systems Theory is used to analyze the multi-level factors affecting his development, and Vygotsky’s ZPD is used to formulate scaffolding teaching strategies. For Afu (ASD), ABA is used to modify his maladaptive behaviors, and Social Learning Theory is used to improve his social communication ability. Both models focus on the interaction between the individual and the environment, and advocate for formulating intervention strategies according to the individual’s characteristics and needs.</w:t>
      </w:r>
    </w:p>
    <w:p>
      <w:pPr>
        <w:pStyle w:val="3"/>
        <w:rPr/>
      </w:pPr>
      <w:r>
        <w:rPr/>
        <w:t>4.1.2 Legal and Policy Basis</w:t>
      </w:r>
    </w:p>
    <w:p>
      <w:pPr>
        <w:pStyle w:val="Normal"/>
        <w:rPr/>
      </w:pPr>
      <w:r>
        <w:rPr/>
        <w:t xml:space="preserve">Both cases are based on the same domestic and international legal framework. Domestically, they are protected by the </w:t>
      </w:r>
      <w:r>
        <w:rPr/>
        <w:t>《中华人民共和国残疾人保障法》《残疾人教育条例》</w:t>
      </w:r>
      <w:r>
        <w:rPr/>
        <w:t xml:space="preserve">, and internationally, they are guided by the </w:t>
      </w:r>
      <w:r>
        <w:rPr/>
        <w:t>《</w:t>
      </w:r>
      <w:r>
        <w:rPr/>
        <w:t>Convention on the Rights of the Child</w:t>
      </w:r>
      <w:r>
        <w:rPr/>
        <w:t xml:space="preserve">》 </w:t>
      </w:r>
      <w:r>
        <w:rPr/>
        <w:t xml:space="preserve">and </w:t>
      </w:r>
      <w:r>
        <w:rPr/>
        <w:t>《</w:t>
      </w:r>
      <w:r>
        <w:rPr/>
        <w:t>Convention on the Rights of Persons with Disabilities</w:t>
      </w:r>
      <w:r>
        <w:rPr/>
        <w:t>》</w:t>
      </w:r>
      <w:r>
        <w:rPr/>
        <w:t>. Both emphasize the equal right to education of persons with disabilities and the obligation of the state, schools, and society to provide inclusive education support.</w:t>
      </w:r>
    </w:p>
    <w:p>
      <w:pPr>
        <w:pStyle w:val="3"/>
        <w:rPr/>
      </w:pPr>
      <w:r>
        <w:rPr/>
        <w:t>4.1.3 Core Intervention Principles</w:t>
      </w:r>
    </w:p>
    <w:p>
      <w:pPr>
        <w:pStyle w:val="Normal"/>
        <w:rPr/>
      </w:pPr>
      <w:r>
        <w:rPr/>
        <w:t>Both cases adhere to the core principles of “positive reinforcement, personalized support, and home-school (institution) collaboration.” In terms of positive reinforcement, both use praise, rewards, and other methods to strengthen adaptive behaviors. In terms of personalized support, both advocate for formulating IEPs according to the individual’s developmental level and needs. In terms of home-school collaboration, both emphasize the importance of effective communication and cooperation between families and schools (institutions) to form an educational joint force.</w:t>
      </w:r>
    </w:p>
    <w:p>
      <w:pPr>
        <w:pStyle w:val="3"/>
        <w:rPr/>
      </w:pPr>
      <w:r>
        <w:rPr/>
        <w:t>4.1.4 Application of Assistive Technology</w:t>
      </w:r>
    </w:p>
    <w:p>
      <w:pPr>
        <w:pStyle w:val="Normal"/>
        <w:rPr/>
      </w:pPr>
      <w:r>
        <w:rPr/>
        <w:t>Both cases involve the application of assistive technology to support inclusive education. For Chenglong, PECS, interactive teaching software, and visual reminder cards are used to help him communicate, learn, and improve his self-care ability. For Afu, PECS, AAC devices, and sensory integration training tools are used to help him communicate, reduce stereotyped behaviors, and adapt to the environment. Both reflect the important role of assistive technology in inclusive education for learners with disabilities.</w:t>
      </w:r>
    </w:p>
    <w:p>
      <w:pPr>
        <w:pStyle w:val="2"/>
        <w:rPr/>
      </w:pPr>
      <w:r>
        <w:rPr/>
        <w:t>4.2 Differences in Inclusive Education Strategies</w:t>
      </w:r>
    </w:p>
    <w:p>
      <w:pPr>
        <w:pStyle w:val="3"/>
        <w:rPr/>
      </w:pPr>
      <w:r>
        <w:rPr/>
        <w:t>4.2.1 Focus of Intervention</w:t>
      </w:r>
    </w:p>
    <w:p>
      <w:pPr>
        <w:pStyle w:val="Normal"/>
        <w:rPr/>
      </w:pPr>
      <w:r>
        <w:rPr>
          <w:b/>
          <w:bCs/>
        </w:rPr>
        <w:t>Intellectual disability (Chenglong)</w:t>
      </w:r>
      <w:r>
        <w:rPr/>
        <w:t xml:space="preserve">: The focus of intervention is on </w:t>
      </w:r>
      <w:r>
        <w:rPr>
          <w:b/>
          <w:bCs/>
        </w:rPr>
        <w:t>cognitive development and social integration</w:t>
      </w:r>
      <w:r>
        <w:rPr/>
        <w:t>. Due to Chenglong’s limited cognitive ability, the intervention strategies focus on improving his academic learning ability and self-care ability, and helping him integrate into the peer group through peer support and collective activities.</w:t>
      </w:r>
    </w:p>
    <w:p>
      <w:pPr>
        <w:pStyle w:val="Normal"/>
        <w:rPr/>
      </w:pPr>
      <w:r>
        <w:rPr>
          <w:b/>
          <w:bCs/>
        </w:rPr>
        <w:t>ASD (Afu)</w:t>
      </w:r>
      <w:r>
        <w:rPr/>
        <w:t xml:space="preserve">: The focus of intervention is on </w:t>
      </w:r>
      <w:r>
        <w:rPr>
          <w:b/>
          <w:bCs/>
        </w:rPr>
        <w:t>behavioral modification and sensory adaptation</w:t>
      </w:r>
      <w:r>
        <w:rPr/>
        <w:t>. Due to Afu’s severe stereotyped behaviors and sensory abnormalities, the intervention strategies focus on modifying his maladaptive behaviors, improving his sensory processing ability, and helping him establish basic communication skills.</w:t>
      </w:r>
    </w:p>
    <w:p>
      <w:pPr>
        <w:pStyle w:val="3"/>
        <w:rPr/>
      </w:pPr>
      <w:r>
        <w:rPr/>
        <w:t>4.2.2 Educational Placement</w:t>
      </w:r>
    </w:p>
    <w:p>
      <w:pPr>
        <w:pStyle w:val="Normal"/>
        <w:rPr/>
      </w:pPr>
      <w:r>
        <w:rPr>
          <w:b/>
          <w:bCs/>
        </w:rPr>
        <w:t>Intellectual disability (Chenglong)</w:t>
      </w:r>
      <w:r>
        <w:rPr/>
        <w:t>: He is placed in an ordinary primary school, and the inclusive education strategy focuses on “adapting the school environment and teaching methods to meet his needs.” For example, establishing a resource classroom, arranging peer support, and formulating IEPs.</w:t>
      </w:r>
    </w:p>
    <w:p>
      <w:pPr>
        <w:pStyle w:val="Normal"/>
        <w:rPr/>
      </w:pPr>
      <w:r>
        <w:rPr>
          <w:b/>
          <w:bCs/>
        </w:rPr>
        <w:t>ASD (Afu)</w:t>
      </w:r>
      <w:r>
        <w:rPr/>
        <w:t>: He is currently in a rehabilitation institution, and the inclusive education strategy focuses on “promoting his enrollment in ordinary kindergartens and establishing an integrated education and rehabilitation system.” For example, transforming kindergartens to carry out inclusive education, integrating education and rehabilitation services, and improving his ability to adapt to collective life.</w:t>
      </w:r>
    </w:p>
    <w:p>
      <w:pPr>
        <w:pStyle w:val="3"/>
        <w:rPr/>
      </w:pPr>
      <w:r>
        <w:rPr/>
        <w:t>4.2.3 Cultural Perspective Focus</w:t>
      </w:r>
    </w:p>
    <w:p>
      <w:pPr>
        <w:pStyle w:val="Normal"/>
        <w:rPr/>
      </w:pPr>
      <w:r>
        <w:rPr>
          <w:b/>
          <w:bCs/>
        </w:rPr>
        <w:t>Intellectual disability (Chenglong)</w:t>
      </w:r>
      <w:r>
        <w:rPr/>
        <w:t xml:space="preserve">: The cultural perspective focuses on </w:t>
      </w:r>
      <w:r>
        <w:rPr>
          <w:b/>
          <w:bCs/>
        </w:rPr>
        <w:t>social stigma and family educational concepts</w:t>
      </w:r>
      <w:r>
        <w:rPr/>
        <w:t>. Due to the influence of traditional cultural concepts that “academic performance is the top priority,” Chenglong is discriminated against by his peers, and his mother holds a negative educational attitude. The improvement suggestions focus on eliminating social stigma and guiding families to establish positive educational concepts.</w:t>
      </w:r>
    </w:p>
    <w:p>
      <w:pPr>
        <w:pStyle w:val="Normal"/>
        <w:rPr/>
      </w:pPr>
      <w:r>
        <w:rPr>
          <w:b/>
          <w:bCs/>
        </w:rPr>
        <w:t>ASD (Afu)</w:t>
      </w:r>
      <w:r>
        <w:rPr/>
        <w:t xml:space="preserve">: The cultural perspective focuses on </w:t>
      </w:r>
      <w:r>
        <w:rPr>
          <w:b/>
          <w:bCs/>
        </w:rPr>
        <w:t>social cognition of ASD and the medical model of disability</w:t>
      </w:r>
      <w:r>
        <w:rPr/>
        <w:t>. Due to the backward social cognition of ASD and the dominant medical model of disability, Afu is excluded from the general education system, and the rehabilitation institution focuses on individual treatment. The improvement suggestions focus on popularizing ASD knowledge, promoting the social model of disability, and creating an inclusive social environment.</w:t>
      </w:r>
    </w:p>
    <w:p>
      <w:pPr>
        <w:pStyle w:val="3"/>
        <w:rPr/>
      </w:pPr>
      <w:r>
        <w:rPr/>
        <w:t>4.2.4 Application of Assistive Technology</w:t>
      </w:r>
    </w:p>
    <w:p>
      <w:pPr>
        <w:pStyle w:val="Normal"/>
        <w:rPr/>
      </w:pPr>
      <w:r>
        <w:rPr>
          <w:b/>
          <w:bCs/>
        </w:rPr>
        <w:t>Intellectual disability (Chenglong)</w:t>
      </w:r>
      <w:r>
        <w:rPr/>
        <w:t xml:space="preserve">: The application of assistive technology focuses on </w:t>
      </w:r>
      <w:r>
        <w:rPr>
          <w:b/>
          <w:bCs/>
        </w:rPr>
        <w:t>educational and daily living support</w:t>
      </w:r>
      <w:r>
        <w:rPr/>
        <w:t>, such as interactive teaching software to help him learn, and visual reminder cards to help him develop good living habits.</w:t>
      </w:r>
    </w:p>
    <w:p>
      <w:pPr>
        <w:pStyle w:val="Normal"/>
        <w:rPr/>
      </w:pPr>
      <w:r>
        <w:rPr>
          <w:b/>
          <w:bCs/>
        </w:rPr>
        <w:t>ASD (Afu)</w:t>
      </w:r>
      <w:r>
        <w:rPr/>
        <w:t xml:space="preserve">: The application of assistive technology focuses on </w:t>
      </w:r>
      <w:r>
        <w:rPr>
          <w:b/>
          <w:bCs/>
        </w:rPr>
        <w:t>communication and sensory adaptation</w:t>
      </w:r>
      <w:r>
        <w:rPr/>
        <w:t>, such as AAC devices to help him communicate, and noise-canceling headphones to help him adapt to sensory stimuli.</w:t>
      </w:r>
    </w:p>
    <w:p>
      <w:pPr>
        <w:pStyle w:val="2"/>
        <w:rPr/>
      </w:pPr>
      <w:r>
        <w:rPr/>
        <w:t>4.3 Enlightenment from Comparative Analysis</w:t>
      </w:r>
    </w:p>
    <w:p>
      <w:pPr>
        <w:pStyle w:val="Normal"/>
        <w:rPr/>
      </w:pPr>
      <w:r>
        <w:rPr/>
        <w:t>The comparative analysis of the two cases shows that inclusive education for learners with different disabilities should adhere to the “unity of generality and particularity.” On the one hand, it is necessary to abide by the common principles of inclusive education, such as legal protection, personalized support, and home-school collaboration. On the other hand, it is necessary to formulate targeted intervention strategies according to the type and degree of disability, focusing on solving the core problems faced by learners.</w:t>
      </w:r>
    </w:p>
    <w:p>
      <w:pPr>
        <w:pStyle w:val="Normal"/>
        <w:rPr/>
      </w:pPr>
      <w:r>
        <w:rPr/>
        <w:t>For educational institutions and practitioners, it is necessary to strengthen the understanding of the diversity of learners with disabilities, master different theoretical models and intervention strategies, and improve the professional level of inclusive education. For the government and society, it is necessary to strengthen the implementation of laws and policies, increase investment in inclusive education resources, eliminate social discrimination, and create an inclusive social environment for learners with disabilities.</w:t>
      </w:r>
    </w:p>
    <w:p>
      <w:pPr>
        <w:pStyle w:val="Normal"/>
        <w:rPr/>
      </w:pPr>
      <w:r>
        <w:rPr/>
      </w:r>
    </w:p>
    <w:p>
      <w:pPr>
        <w:pStyle w:val="Normal"/>
        <w:pBdr>
          <w:bottom w:val="single" w:sz="6" w:space="1" w:color="000000"/>
        </w:pBdr>
        <w:rPr/>
      </w:pPr>
      <w:r>
        <w:rPr/>
      </w:r>
    </w:p>
    <w:p>
      <w:pPr>
        <w:pStyle w:val="1"/>
        <w:rPr/>
      </w:pPr>
      <w:r>
        <w:rPr/>
        <w:t>5. Conclusion</w:t>
      </w:r>
    </w:p>
    <w:p>
      <w:pPr>
        <w:pStyle w:val="Normal"/>
        <w:rPr/>
      </w:pPr>
      <w:r>
        <w:rPr/>
        <w:t>This report selects two typical cases of learners with disabilities (Xiong Chenglong with intellectual disability and Afu with autism spectrum disorder) and conducts a comparative analysis of inclusive education strategies. Through the application of theoretical models, analysis of legal frameworks, exploration of assistive technology, and reflection on cultural perspectives, the report finds that current inclusive education practices in China still face many challenges, such as inadequate personalized support, insufficient professionalization of practitioners, imperfect home-school collaboration, and inadequate implementation of laws and policies.</w:t>
      </w:r>
    </w:p>
    <w:p>
      <w:pPr>
        <w:pStyle w:val="Normal"/>
        <w:rPr/>
      </w:pPr>
      <w:r>
        <w:rPr/>
        <w:t>For learners with intellectual disability, the key to inclusive education is to formulate scientific IEPs, strengthen cognitive and social intervention, and improve the school support system. For learners with ASD, the key is to promote inclusive enrollment, establish an integrated education and rehabilitation system, modify maladaptive behaviors, and improve sensory adaptation ability. Both cases require the joint efforts of the state, schools, families, and society to form an inclusive education ecosystem.</w:t>
      </w:r>
    </w:p>
    <w:p>
      <w:pPr>
        <w:pStyle w:val="Normal"/>
        <w:rPr/>
      </w:pPr>
      <w:r>
        <w:rPr/>
        <w:t>The research also shows that inclusive education for learners with disabilities should adhere to the concept of “equity, inclusion, and individualization,” integrate theoretical models, legal frameworks, assistive technology, and cultural perspectives, and continuously optimize intervention strategies through critical reflection. In the future, it is necessary to further strengthen the implementation of laws and policies, improve the professional level of practitioners, increase investment in inclusive education resources, and eliminate social discrimination, so as to ensure that every learner with a disability can enjoy equal right to education and realize their full potential.</w:t>
      </w:r>
    </w:p>
    <w:p>
      <w:pPr>
        <w:pStyle w:val="Normal"/>
        <w:rPr/>
      </w:pPr>
      <w:r>
        <w:rPr/>
      </w:r>
    </w:p>
    <w:p>
      <w:pPr>
        <w:pStyle w:val="Normal"/>
        <w:pBdr>
          <w:bottom w:val="single" w:sz="6" w:space="1" w:color="000000"/>
        </w:pBdr>
        <w:rPr/>
      </w:pPr>
      <w:r>
        <w:rPr/>
      </w:r>
    </w:p>
    <w:p>
      <w:pPr>
        <w:pStyle w:val="1"/>
        <w:rPr/>
      </w:pPr>
      <w:r>
        <w:rPr/>
        <w:t>6. References</w:t>
      </w:r>
    </w:p>
    <w:p>
      <w:pPr>
        <w:pStyle w:val="Normal"/>
        <w:rPr/>
      </w:pPr>
      <w:r>
        <w:rPr/>
        <w:t xml:space="preserve">American Psychiatric Association (APA). (2013). </w:t>
      </w:r>
      <w:r>
        <w:rPr>
          <w:i/>
          <w:iCs/>
        </w:rPr>
        <w:t>Diagnostic and statistical manual of mental disorders</w:t>
      </w:r>
      <w:r>
        <w:rPr/>
        <w:t xml:space="preserve"> (5th ed.). Washington, DC: Author.</w:t>
      </w:r>
    </w:p>
    <w:p>
      <w:pPr>
        <w:pStyle w:val="Normal"/>
        <w:rPr/>
      </w:pPr>
      <w:r>
        <w:rPr/>
        <w:t xml:space="preserve">Baer, D. M., Wolf, M. M., &amp; Risley, T. R. (1968). Some current dimensions of applied behavior analysis. </w:t>
      </w:r>
      <w:r>
        <w:rPr>
          <w:i/>
          <w:iCs/>
        </w:rPr>
        <w:t>Journal of Applied Behavior Analysis, 1</w:t>
      </w:r>
      <w:r>
        <w:rPr/>
        <w:t>(1), 91-97.</w:t>
      </w:r>
    </w:p>
    <w:p>
      <w:pPr>
        <w:pStyle w:val="Normal"/>
        <w:rPr/>
      </w:pPr>
      <w:r>
        <w:rPr/>
        <w:t xml:space="preserve">Bandura, A. (1977). </w:t>
      </w:r>
      <w:r>
        <w:rPr>
          <w:i/>
          <w:iCs/>
        </w:rPr>
        <w:t>Social learning theory</w:t>
      </w:r>
      <w:r>
        <w:rPr/>
        <w:t>. Prentice-Hall.</w:t>
      </w:r>
    </w:p>
    <w:p>
      <w:pPr>
        <w:pStyle w:val="Normal"/>
        <w:rPr/>
      </w:pPr>
      <w:r>
        <w:rPr/>
        <w:t xml:space="preserve">Bronfenbrenner, U. (1979). </w:t>
      </w:r>
      <w:r>
        <w:rPr>
          <w:i/>
          <w:iCs/>
        </w:rPr>
        <w:t>The ecology of human development: Experiments by nature and design</w:t>
      </w:r>
      <w:r>
        <w:rPr/>
        <w:t>. Harvard University Press.</w:t>
      </w:r>
    </w:p>
    <w:p>
      <w:pPr>
        <w:pStyle w:val="Normal"/>
        <w:rPr/>
      </w:pPr>
      <w:r>
        <w:rPr/>
        <w:t xml:space="preserve">Liu, Y., &amp; Zhang, H. (2022). Challenges and countermeasures of inclusive education for children with disabilities in China. </w:t>
      </w:r>
      <w:r>
        <w:rPr>
          <w:i/>
          <w:iCs/>
        </w:rPr>
        <w:t>Chinese Journal of Special Education, 28</w:t>
      </w:r>
      <w:r>
        <w:rPr/>
        <w:t>(3), 3-9. (In Chinese)</w:t>
      </w:r>
    </w:p>
    <w:p>
      <w:pPr>
        <w:pStyle w:val="Normal"/>
        <w:rPr/>
      </w:pPr>
      <w:r>
        <w:rPr/>
        <w:t xml:space="preserve">Oliver, M. (1990). </w:t>
      </w:r>
      <w:r>
        <w:rPr>
          <w:i/>
          <w:iCs/>
        </w:rPr>
        <w:t>The politics of disablement</w:t>
      </w:r>
      <w:r>
        <w:rPr/>
        <w:t>. Macmillan.</w:t>
      </w:r>
    </w:p>
    <w:p>
      <w:pPr>
        <w:pStyle w:val="Normal"/>
        <w:rPr/>
      </w:pPr>
      <w:r>
        <w:rPr/>
        <w:t>Technology-Related Assistance for Individuals with Disabilities Act. (1988). Public Law 100-407.</w:t>
      </w:r>
    </w:p>
    <w:p>
      <w:pPr>
        <w:pStyle w:val="Normal"/>
        <w:rPr/>
      </w:pPr>
      <w:r>
        <w:rPr/>
        <w:t xml:space="preserve">UNESCO. (2020). </w:t>
      </w:r>
      <w:r>
        <w:rPr>
          <w:i/>
          <w:iCs/>
        </w:rPr>
        <w:t>Inclusive education: Guidelines for policy-makers and education providers</w:t>
      </w:r>
      <w:r>
        <w:rPr/>
        <w:t>. UNESCO Publishing.</w:t>
      </w:r>
    </w:p>
    <w:p>
      <w:pPr>
        <w:pStyle w:val="Normal"/>
        <w:rPr/>
      </w:pPr>
      <w:r>
        <w:rPr/>
        <w:t xml:space="preserve">Vygotsky, L. S. (1978). </w:t>
      </w:r>
      <w:r>
        <w:rPr>
          <w:i/>
          <w:iCs/>
        </w:rPr>
        <w:t>Mind in society: The development of higher psychological processes</w:t>
      </w:r>
      <w:r>
        <w:rPr/>
        <w:t>. Harvard University Press.</w:t>
      </w:r>
    </w:p>
    <w:p>
      <w:pPr>
        <w:pStyle w:val="Normal"/>
        <w:rPr/>
      </w:pPr>
      <w:r>
        <w:rPr/>
        <w:t>中华人民共和国全国人民代表大会常务委员会</w:t>
      </w:r>
      <w:r>
        <w:rPr/>
        <w:t xml:space="preserve">. (2018). </w:t>
      </w:r>
      <w:r>
        <w:rPr/>
        <w:t>中华人民共和国残疾人保障法（</w:t>
      </w:r>
      <w:r>
        <w:rPr/>
        <w:t>2018</w:t>
      </w:r>
      <w:r>
        <w:rPr/>
        <w:t>年修正）</w:t>
      </w:r>
      <w:r>
        <w:rPr/>
        <w:t xml:space="preserve">. </w:t>
      </w:r>
      <w:r>
        <w:rPr/>
        <w:t>中国法制出版社</w:t>
      </w:r>
      <w:r>
        <w:rPr/>
        <w:t>.</w:t>
      </w:r>
    </w:p>
    <w:p>
      <w:pPr>
        <w:pStyle w:val="Normal"/>
        <w:rPr/>
      </w:pPr>
      <w:r>
        <w:rPr/>
        <w:t>中华人民共和国国务院</w:t>
      </w:r>
      <w:r>
        <w:rPr/>
        <w:t xml:space="preserve">. (2017). </w:t>
      </w:r>
      <w:r>
        <w:rPr/>
        <w:t>残疾人教育条例（</w:t>
      </w:r>
      <w:r>
        <w:rPr/>
        <w:t>2017</w:t>
      </w:r>
      <w:r>
        <w:rPr/>
        <w:t>年修订）</w:t>
      </w:r>
      <w:r>
        <w:rPr/>
        <w:t xml:space="preserve">. </w:t>
      </w:r>
      <w:r>
        <w:rPr/>
        <w:t>中国法制出版社</w:t>
      </w:r>
      <w:r>
        <w:rPr/>
        <w:t>.</w:t>
      </w:r>
    </w:p>
    <w:p>
      <w:pPr>
        <w:pStyle w:val="Normal"/>
        <w:rPr/>
      </w:pPr>
      <w:r>
        <w:rPr/>
        <w:t>中华人民共和国全国人民代表大会常务委员会</w:t>
      </w:r>
      <w:r>
        <w:rPr/>
        <w:t xml:space="preserve">. (2021). </w:t>
      </w:r>
      <w:r>
        <w:rPr/>
        <w:t>中华人民共和国教育法（</w:t>
      </w:r>
      <w:r>
        <w:rPr/>
        <w:t>2021</w:t>
      </w:r>
      <w:r>
        <w:rPr/>
        <w:t>年修正）</w:t>
      </w:r>
      <w:r>
        <w:rPr/>
        <w:t xml:space="preserve">. </w:t>
      </w:r>
      <w:r>
        <w:rPr/>
        <w:t>中国法制出版社</w:t>
      </w:r>
      <w:r>
        <w:rPr/>
        <w:t>.</w:t>
      </w:r>
    </w:p>
    <w:p>
      <w:pPr>
        <w:pStyle w:val="Normal"/>
        <w:rPr/>
      </w:pPr>
      <w:r>
        <w:rPr/>
        <w:t xml:space="preserve">Ministry of Education of the People’s Republic of China. (2001). </w:t>
      </w:r>
      <w:r>
        <w:rPr/>
        <w:t>幼儿园教育指导纲要（试行）</w:t>
      </w:r>
      <w:r>
        <w:rPr/>
        <w:t xml:space="preserve">. </w:t>
      </w:r>
      <w:r>
        <w:rPr/>
        <w:t>北京师范大学出版社</w:t>
      </w:r>
      <w:r>
        <w:rPr/>
        <w:t>.</w:t>
      </w:r>
    </w:p>
    <w:p>
      <w:pPr>
        <w:pStyle w:val="Normal"/>
        <w:rPr/>
      </w:pPr>
      <w:r>
        <w:rPr/>
        <w:t xml:space="preserve">United Nations. (1989). </w:t>
      </w:r>
      <w:r>
        <w:rPr>
          <w:i/>
          <w:iCs/>
        </w:rPr>
        <w:t>Convention on the Rights of the Child</w:t>
      </w:r>
      <w:r>
        <w:rPr/>
        <w:t>. New York: United Nations.</w:t>
      </w:r>
    </w:p>
    <w:p>
      <w:pPr>
        <w:pStyle w:val="Normal"/>
        <w:rPr/>
      </w:pPr>
      <w:r>
        <w:rPr/>
        <w:t xml:space="preserve">United Nations. (2006). </w:t>
      </w:r>
      <w:r>
        <w:rPr>
          <w:i/>
          <w:iCs/>
        </w:rPr>
        <w:t>Convention on the Rights of Persons with Disabilities</w:t>
      </w:r>
      <w:r>
        <w:rPr/>
        <w:t>. New York: United Nations.</w:t>
      </w:r>
    </w:p>
    <w:p>
      <w:pPr>
        <w:pStyle w:val="Normal"/>
        <w:rPr/>
      </w:pPr>
      <w:r>
        <w:rPr/>
      </w:r>
    </w:p>
    <w:p>
      <w:pPr>
        <w:pStyle w:val="Normal"/>
        <w:pBdr>
          <w:bottom w:val="single" w:sz="6" w:space="1" w:color="000000"/>
        </w:pBdr>
        <w:rPr/>
      </w:pPr>
      <w:r>
        <w:rPr/>
      </w:r>
    </w:p>
    <w:tbl>
      <w:tblPr>
        <w:tblW w:w="200" w:type="dxa"/>
        <w:jc w:val="left"/>
        <w:tblInd w:w="0" w:type="dxa"/>
        <w:tblLayout w:type="fixed"/>
        <w:tblCellMar>
          <w:top w:w="60" w:type="dxa"/>
          <w:left w:w="120" w:type="dxa"/>
          <w:bottom w:w="30" w:type="dxa"/>
          <w:right w:w="120" w:type="dxa"/>
        </w:tblCellMar>
      </w:tblPr>
      <w:tblGrid>
        <w:gridCol w:w="138"/>
        <w:gridCol w:w="61"/>
      </w:tblGrid>
      <w:tr>
        <w:trPr/>
        <w:tc>
          <w:tcPr>
            <w:tcW w:w="138" w:type="dxa"/>
            <w:tcBorders>
              <w:top w:val="single" w:sz="6" w:space="0" w:color="DEE0E3"/>
              <w:left w:val="single" w:sz="6" w:space="0" w:color="DEE0E3"/>
              <w:bottom w:val="single" w:sz="6" w:space="0" w:color="DEE0E3"/>
              <w:right w:val="single" w:sz="6" w:space="0" w:color="DEE0E3"/>
            </w:tcBorders>
          </w:tcPr>
          <w:p>
            <w:pPr>
              <w:pStyle w:val="1"/>
              <w:spacing w:lineRule="auto" w:line="288" w:before="380" w:after="140"/>
              <w:ind w:left="0" w:hanging="0"/>
              <w:jc w:val="left"/>
              <w:rPr/>
            </w:pPr>
            <w:r>
              <w:rPr/>
            </w:r>
          </w:p>
        </w:tc>
        <w:tc>
          <w:tcPr>
            <w:tcW w:w="61" w:type="dxa"/>
            <w:tcBorders>
              <w:top w:val="single" w:sz="6" w:space="0" w:color="DEE0E3"/>
              <w:left w:val="single" w:sz="6" w:space="0" w:color="DEE0E3"/>
              <w:bottom w:val="single" w:sz="6" w:space="0" w:color="DEE0E3"/>
              <w:right w:val="single" w:sz="6" w:space="0" w:color="DEE0E3"/>
            </w:tcBorders>
          </w:tcPr>
          <w:p>
            <w:pPr>
              <w:pStyle w:val="1"/>
              <w:spacing w:lineRule="auto" w:line="288" w:before="380" w:after="140"/>
              <w:ind w:left="0" w:hanging="0"/>
              <w:jc w:val="left"/>
              <w:rPr/>
            </w:pPr>
            <w:r>
              <w:rPr/>
            </w:r>
          </w:p>
        </w:tc>
      </w:tr>
      <w:tr>
        <w:trPr/>
        <w:tc>
          <w:tcPr>
            <w:tcW w:w="138" w:type="dxa"/>
            <w:tcBorders>
              <w:top w:val="single" w:sz="6" w:space="0" w:color="DEE0E3"/>
              <w:left w:val="single" w:sz="6" w:space="0" w:color="DEE0E3"/>
              <w:bottom w:val="single" w:sz="6" w:space="0" w:color="DEE0E3"/>
              <w:right w:val="single" w:sz="6" w:space="0" w:color="DEE0E3"/>
            </w:tcBorders>
          </w:tcPr>
          <w:p>
            <w:pPr>
              <w:pStyle w:val="1"/>
              <w:spacing w:lineRule="auto" w:line="288" w:before="380" w:after="140"/>
              <w:ind w:left="0" w:hanging="0"/>
              <w:jc w:val="left"/>
              <w:rPr/>
            </w:pPr>
            <w:r>
              <w:rPr/>
            </w:r>
          </w:p>
        </w:tc>
        <w:tc>
          <w:tcPr>
            <w:tcW w:w="61" w:type="dxa"/>
            <w:tcBorders>
              <w:top w:val="single" w:sz="6" w:space="0" w:color="DEE0E3"/>
              <w:left w:val="single" w:sz="6" w:space="0" w:color="DEE0E3"/>
              <w:bottom w:val="single" w:sz="6" w:space="0" w:color="DEE0E3"/>
              <w:right w:val="single" w:sz="6" w:space="0" w:color="DEE0E3"/>
            </w:tcBorders>
          </w:tcPr>
          <w:p>
            <w:pPr>
              <w:pStyle w:val="1"/>
              <w:spacing w:lineRule="auto" w:line="288" w:before="380" w:after="140"/>
              <w:ind w:left="0" w:hanging="0"/>
              <w:jc w:val="left"/>
              <w:rPr/>
            </w:pPr>
            <w:r>
              <w:rPr/>
            </w:r>
          </w:p>
        </w:tc>
      </w:tr>
      <w:tr>
        <w:trPr/>
        <w:tc>
          <w:tcPr>
            <w:tcW w:w="138" w:type="dxa"/>
            <w:tcBorders>
              <w:top w:val="single" w:sz="6" w:space="0" w:color="DEE0E3"/>
              <w:left w:val="single" w:sz="6" w:space="0" w:color="DEE0E3"/>
              <w:bottom w:val="single" w:sz="6" w:space="0" w:color="DEE0E3"/>
              <w:right w:val="single" w:sz="6" w:space="0" w:color="DEE0E3"/>
            </w:tcBorders>
          </w:tcPr>
          <w:p>
            <w:pPr>
              <w:pStyle w:val="1"/>
              <w:spacing w:lineRule="auto" w:line="288" w:before="380" w:after="140"/>
              <w:ind w:left="0" w:hanging="0"/>
              <w:jc w:val="left"/>
              <w:rPr/>
            </w:pPr>
            <w:r>
              <w:rPr/>
            </w:r>
          </w:p>
        </w:tc>
        <w:tc>
          <w:tcPr>
            <w:tcW w:w="61" w:type="dxa"/>
            <w:tcBorders>
              <w:top w:val="single" w:sz="6" w:space="0" w:color="DEE0E3"/>
              <w:left w:val="single" w:sz="6" w:space="0" w:color="DEE0E3"/>
              <w:bottom w:val="single" w:sz="6" w:space="0" w:color="DEE0E3"/>
              <w:right w:val="single" w:sz="6" w:space="0" w:color="DEE0E3"/>
            </w:tcBorders>
          </w:tcPr>
          <w:p>
            <w:pPr>
              <w:pStyle w:val="1"/>
              <w:spacing w:lineRule="auto" w:line="288" w:before="380" w:after="140"/>
              <w:ind w:left="0" w:hanging="0"/>
              <w:jc w:val="left"/>
              <w:rPr/>
            </w:pPr>
            <w:r>
              <w:rPr/>
              <w:t>7. Appendix: Group Assessment Rubric</w:t>
            </w:r>
          </w:p>
        </w:tc>
      </w:tr>
    </w:tbl>
    <w:p>
      <w:pPr>
        <w:pStyle w:val="Normal"/>
        <w:rPr/>
      </w:pPr>
      <w:r>
        <w:rPr/>
      </w:r>
    </w:p>
    <w:p>
      <w:pPr>
        <w:pStyle w:val="Normal"/>
        <w:rPr/>
      </w:pPr>
      <w:r>
        <w:rPr/>
        <w:t>NAME</w:t>
      </w:r>
    </w:p>
    <w:p>
      <w:pPr>
        <w:pStyle w:val="Normal"/>
        <w:rPr/>
      </w:pPr>
      <w:r>
        <w:rPr/>
        <w:t>______________________________</w:t>
      </w:r>
    </w:p>
    <w:p>
      <w:pPr>
        <w:pStyle w:val="Normal"/>
        <w:rPr/>
      </w:pPr>
      <w:r>
        <w:rPr/>
        <w:t>STUDENT ID NO.</w:t>
      </w:r>
    </w:p>
    <w:p>
      <w:pPr>
        <w:pStyle w:val="Normal"/>
        <w:rPr/>
      </w:pPr>
      <w:r>
        <w:rPr/>
        <w:t>______________________________</w:t>
      </w:r>
    </w:p>
    <w:p>
      <w:pPr>
        <w:pStyle w:val="Normal"/>
        <w:rPr/>
      </w:pPr>
      <w:r>
        <w:rPr/>
        <w:t>DATE</w:t>
      </w:r>
    </w:p>
    <w:p>
      <w:pPr>
        <w:pStyle w:val="Normal"/>
        <w:rPr/>
      </w:pPr>
      <w:r>
        <w:rPr/>
        <w:t>______________________________</w:t>
      </w:r>
    </w:p>
    <w:p>
      <w:pPr>
        <w:pStyle w:val="2"/>
        <w:rPr/>
      </w:pPr>
      <w:r>
        <w:rPr/>
        <w:t>MSN1013 DIVERSITY OF LEARNERS WITH DISABILITIES</w:t>
      </w:r>
    </w:p>
    <w:tbl>
      <w:tblPr>
        <w:tblW w:w="700" w:type="dxa"/>
        <w:jc w:val="left"/>
        <w:tblInd w:w="0" w:type="dxa"/>
        <w:tblLayout w:type="fixed"/>
        <w:tblCellMar>
          <w:top w:w="60" w:type="dxa"/>
          <w:left w:w="120" w:type="dxa"/>
          <w:bottom w:w="30" w:type="dxa"/>
          <w:right w:w="120" w:type="dxa"/>
        </w:tblCellMar>
      </w:tblPr>
      <w:tblGrid>
        <w:gridCol w:w="99"/>
        <w:gridCol w:w="100"/>
        <w:gridCol w:w="100"/>
        <w:gridCol w:w="100"/>
        <w:gridCol w:w="100"/>
        <w:gridCol w:w="100"/>
        <w:gridCol w:w="100"/>
      </w:tblGrid>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r>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r>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r>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r>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r>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t>GROUP ASSESSMENT RUBRIC (WRITTEN REPORT)</w:t>
            </w:r>
          </w:p>
        </w:tc>
      </w:tr>
    </w:tbl>
    <w:p>
      <w:pPr>
        <w:pStyle w:val="Normal"/>
        <w:rPr/>
      </w:pPr>
      <w:r>
        <w:rPr/>
      </w:r>
    </w:p>
    <w:p>
      <w:pPr>
        <w:pStyle w:val="Normal"/>
        <w:rPr/>
      </w:pPr>
      <w:r>
        <w:rPr/>
        <w:t>评分标准</w:t>
      </w:r>
    </w:p>
    <w:p>
      <w:pPr>
        <w:pStyle w:val="Normal"/>
        <w:rPr/>
      </w:pPr>
      <w:r>
        <w:rPr/>
        <w:t>未达标（</w:t>
      </w:r>
      <w:r>
        <w:rPr/>
        <w:t>1</w:t>
      </w:r>
      <w:r>
        <w:rPr/>
        <w:t>分）</w:t>
      </w:r>
    </w:p>
    <w:p>
      <w:pPr>
        <w:pStyle w:val="Normal"/>
        <w:rPr/>
      </w:pPr>
      <w:r>
        <w:rPr/>
        <w:t>低于平均水平（</w:t>
      </w:r>
      <w:r>
        <w:rPr/>
        <w:t>2</w:t>
      </w:r>
      <w:r>
        <w:rPr/>
        <w:t>分）</w:t>
      </w:r>
    </w:p>
    <w:p>
      <w:pPr>
        <w:pStyle w:val="Normal"/>
        <w:rPr/>
      </w:pPr>
      <w:r>
        <w:rPr/>
        <w:t>平均水平（</w:t>
      </w:r>
      <w:r>
        <w:rPr/>
        <w:t>3</w:t>
      </w:r>
      <w:r>
        <w:rPr/>
        <w:t>分）</w:t>
      </w:r>
    </w:p>
    <w:p>
      <w:pPr>
        <w:pStyle w:val="Normal"/>
        <w:rPr/>
      </w:pPr>
      <w:r>
        <w:rPr/>
        <w:t>高于平均水平（</w:t>
      </w:r>
      <w:r>
        <w:rPr/>
        <w:t>4</w:t>
      </w:r>
      <w:r>
        <w:rPr/>
        <w:t>分）</w:t>
      </w:r>
    </w:p>
    <w:p>
      <w:pPr>
        <w:pStyle w:val="Normal"/>
        <w:rPr/>
      </w:pPr>
      <w:r>
        <w:rPr/>
        <w:t>卓越水平（</w:t>
      </w:r>
      <w:r>
        <w:rPr/>
        <w:t>5</w:t>
      </w:r>
      <w:r>
        <w:rPr/>
        <w:t>分）</w:t>
      </w:r>
    </w:p>
    <w:p>
      <w:pPr>
        <w:pStyle w:val="Normal"/>
        <w:rPr/>
      </w:pPr>
      <w:r>
        <w:rPr/>
        <w:t>得分</w:t>
      </w:r>
    </w:p>
    <w:p>
      <w:pPr>
        <w:pStyle w:val="Normal"/>
        <w:rPr/>
      </w:pPr>
      <w:r>
        <w:rPr/>
        <w:t>分析深度（</w:t>
      </w:r>
      <w:r>
        <w:rPr/>
        <w:t>CLO1</w:t>
      </w:r>
      <w:r>
        <w:rPr/>
        <w:t>）</w:t>
      </w:r>
    </w:p>
    <w:p>
      <w:pPr>
        <w:pStyle w:val="Normal"/>
        <w:rPr/>
      </w:pPr>
      <w:r>
        <w:rPr/>
        <w:t>分析肤浅或不准确，未运用任何理论模型</w:t>
      </w:r>
    </w:p>
    <w:p>
      <w:pPr>
        <w:pStyle w:val="Normal"/>
        <w:rPr/>
      </w:pPr>
      <w:r>
        <w:rPr/>
        <w:t>对残障影响理解有限，仅运用一种简单模型</w:t>
      </w:r>
    </w:p>
    <w:p>
      <w:pPr>
        <w:pStyle w:val="Normal"/>
        <w:rPr/>
      </w:pPr>
      <w:r>
        <w:rPr/>
        <w:t>基本分析，运用了一些相关模型，分析较为表面</w:t>
      </w:r>
    </w:p>
    <w:p>
      <w:pPr>
        <w:pStyle w:val="Normal"/>
        <w:rPr/>
      </w:pPr>
      <w:r>
        <w:rPr/>
        <w:t>运用多种模型进行清晰且相关的分析，能结合案例深入探讨</w:t>
      </w:r>
    </w:p>
    <w:p>
      <w:pPr>
        <w:pStyle w:val="Normal"/>
        <w:rPr/>
      </w:pPr>
      <w:r>
        <w:rPr/>
        <w:t>分析深刻、整合良好，理论基础扎实，能提出独到见解</w:t>
      </w:r>
    </w:p>
    <w:p>
      <w:pPr>
        <w:pStyle w:val="Normal"/>
        <w:rPr/>
      </w:pPr>
      <w:r>
        <w:rPr/>
        <w:t>____</w:t>
      </w:r>
    </w:p>
    <w:p>
      <w:pPr>
        <w:pStyle w:val="Normal"/>
        <w:rPr/>
      </w:pPr>
      <w:r>
        <w:rPr/>
        <w:t>融合教育实践批判（</w:t>
      </w:r>
      <w:r>
        <w:rPr/>
        <w:t>CLO2</w:t>
      </w:r>
      <w:r>
        <w:rPr/>
        <w:t>）</w:t>
      </w:r>
    </w:p>
    <w:p>
      <w:pPr>
        <w:pStyle w:val="Normal"/>
        <w:rPr/>
      </w:pPr>
      <w:r>
        <w:rPr/>
        <w:t>无批判或策略不相关</w:t>
      </w:r>
    </w:p>
    <w:p>
      <w:pPr>
        <w:pStyle w:val="Normal"/>
        <w:rPr/>
      </w:pPr>
      <w:r>
        <w:rPr/>
        <w:t>批判有限，理由不充分，缺乏具体示例</w:t>
      </w:r>
    </w:p>
    <w:p>
      <w:pPr>
        <w:pStyle w:val="Normal"/>
        <w:rPr/>
      </w:pPr>
      <w:r>
        <w:rPr/>
        <w:t>批判充分，有一些相关示例，理由较为合理</w:t>
      </w:r>
    </w:p>
    <w:p>
      <w:pPr>
        <w:pStyle w:val="Normal"/>
        <w:rPr/>
      </w:pPr>
      <w:r>
        <w:rPr/>
        <w:t>批判有力，示例清晰且理由充分，能指出核心问题</w:t>
      </w:r>
    </w:p>
    <w:p>
      <w:pPr>
        <w:pStyle w:val="Normal"/>
        <w:rPr/>
      </w:pPr>
      <w:r>
        <w:rPr/>
        <w:t>批判全面，见解新颖，能结合法律和文化视角提出系统性批判</w:t>
      </w:r>
    </w:p>
    <w:p>
      <w:pPr>
        <w:pStyle w:val="Normal"/>
        <w:rPr/>
      </w:pPr>
      <w:r>
        <w:rPr/>
        <w:t>____</w:t>
      </w:r>
    </w:p>
    <w:p>
      <w:pPr>
        <w:pStyle w:val="Normal"/>
        <w:rPr/>
      </w:pPr>
      <w:r>
        <w:rPr/>
        <w:t>案例研究与法律框架运用</w:t>
      </w:r>
    </w:p>
    <w:p>
      <w:pPr>
        <w:pStyle w:val="Normal"/>
        <w:rPr/>
      </w:pPr>
      <w:r>
        <w:rPr/>
        <w:t>未整合案例研究或法律框架</w:t>
      </w:r>
    </w:p>
    <w:p>
      <w:pPr>
        <w:pStyle w:val="Normal"/>
        <w:rPr/>
      </w:pPr>
      <w:r>
        <w:rPr/>
        <w:t>引用极少或引用不准确，案例与法律脱节</w:t>
      </w:r>
    </w:p>
    <w:p>
      <w:pPr>
        <w:pStyle w:val="Normal"/>
        <w:rPr/>
      </w:pPr>
      <w:r>
        <w:rPr/>
        <w:t>有一些相关案例研究和法律引用，整合一般</w:t>
      </w:r>
    </w:p>
    <w:p>
      <w:pPr>
        <w:pStyle w:val="Normal"/>
        <w:rPr/>
      </w:pPr>
      <w:r>
        <w:rPr/>
        <w:t>示例和法律引用整合良好，能结合案例分析法律的应用</w:t>
      </w:r>
    </w:p>
    <w:p>
      <w:pPr>
        <w:pStyle w:val="Normal"/>
        <w:rPr/>
      </w:pPr>
      <w:r>
        <w:rPr/>
        <w:t>多样案例研究和法律见解运用丰富，能深入分析法律实施中的问题</w:t>
      </w:r>
    </w:p>
    <w:p>
      <w:pPr>
        <w:pStyle w:val="Normal"/>
        <w:rPr/>
      </w:pPr>
      <w:r>
        <w:rPr/>
        <w:t>____</w:t>
      </w:r>
    </w:p>
    <w:p>
      <w:pPr>
        <w:pStyle w:val="Normal"/>
        <w:rPr/>
      </w:pPr>
      <w:r>
        <w:rPr/>
        <w:t>结构与清晰度</w:t>
      </w:r>
    </w:p>
    <w:p>
      <w:pPr>
        <w:pStyle w:val="Normal"/>
        <w:rPr/>
      </w:pPr>
      <w:r>
        <w:rPr/>
        <w:t>结构混乱，表述不清，逻辑断裂</w:t>
      </w:r>
    </w:p>
    <w:p>
      <w:pPr>
        <w:pStyle w:val="Normal"/>
        <w:rPr/>
      </w:pPr>
      <w:r>
        <w:rPr/>
        <w:t>结构不佳，清晰度有限，逻辑不连贯</w:t>
      </w:r>
    </w:p>
    <w:p>
      <w:pPr>
        <w:pStyle w:val="Normal"/>
        <w:rPr/>
      </w:pPr>
      <w:r>
        <w:rPr/>
        <w:t>组织和清晰度尚可，逻辑基本清晰</w:t>
      </w:r>
    </w:p>
    <w:p>
      <w:pPr>
        <w:pStyle w:val="Normal"/>
        <w:rPr/>
      </w:pPr>
      <w:r>
        <w:rPr/>
        <w:t>结构良好，大多清晰，逻辑连贯</w:t>
      </w:r>
    </w:p>
    <w:p>
      <w:pPr>
        <w:pStyle w:val="Normal"/>
        <w:rPr/>
      </w:pPr>
      <w:r>
        <w:rPr/>
        <w:t>极其清晰、逻辑严密、组织有序，表述精炼</w:t>
      </w:r>
    </w:p>
    <w:p>
      <w:pPr>
        <w:pStyle w:val="Normal"/>
        <w:rPr/>
      </w:pPr>
      <w:r>
        <w:rPr/>
        <w:t>____</w:t>
      </w:r>
    </w:p>
    <w:p>
      <w:pPr>
        <w:pStyle w:val="Normal"/>
        <w:rPr/>
      </w:pPr>
      <w:r>
        <w:rPr/>
        <w:t>引用与学术写作</w:t>
      </w:r>
    </w:p>
    <w:p>
      <w:pPr>
        <w:pStyle w:val="Normal"/>
        <w:rPr/>
      </w:pPr>
      <w:r>
        <w:rPr/>
        <w:t>无引用或写作差，存在大量语法错误</w:t>
      </w:r>
    </w:p>
    <w:p>
      <w:pPr>
        <w:pStyle w:val="Normal"/>
        <w:rPr/>
      </w:pPr>
      <w:r>
        <w:rPr/>
        <w:t>引用有限，写作薄弱，语法错误较多</w:t>
      </w:r>
    </w:p>
    <w:p>
      <w:pPr>
        <w:pStyle w:val="Normal"/>
        <w:rPr/>
      </w:pPr>
      <w:r>
        <w:rPr/>
        <w:t>基本引用，写作可接受，语法错误较少</w:t>
      </w:r>
    </w:p>
    <w:p>
      <w:pPr>
        <w:pStyle w:val="Normal"/>
        <w:rPr/>
      </w:pPr>
      <w:r>
        <w:rPr/>
        <w:t>引用准确，学术语调良好，写作流畅</w:t>
      </w:r>
    </w:p>
    <w:p>
      <w:pPr>
        <w:pStyle w:val="Normal"/>
        <w:rPr/>
      </w:pPr>
      <w:r>
        <w:rPr/>
        <w:t>引用出色，学术写作精炼，格式规范，无语法错误</w:t>
      </w:r>
    </w:p>
    <w:p>
      <w:pPr>
        <w:pStyle w:val="Normal"/>
        <w:rPr/>
      </w:pPr>
      <w:r>
        <w:rPr/>
        <w:t>____</w:t>
      </w:r>
    </w:p>
    <w:p>
      <w:pPr>
        <w:pStyle w:val="3"/>
        <w:rPr/>
      </w:pPr>
      <w:r>
        <w:rPr/>
        <w:t>总分计算</w:t>
      </w:r>
    </w:p>
    <w:p>
      <w:pPr>
        <w:pStyle w:val="Normal"/>
        <w:rPr/>
      </w:pPr>
      <w:r>
        <w:rPr/>
        <w:t xml:space="preserve">分析深度 </w:t>
      </w:r>
      <w:r>
        <w:rPr/>
        <w:t>× 2 = ____</w:t>
      </w:r>
    </w:p>
    <w:p>
      <w:pPr>
        <w:pStyle w:val="Normal"/>
        <w:rPr/>
      </w:pPr>
      <w:r>
        <w:rPr/>
        <w:t xml:space="preserve">融合教育实践批判 </w:t>
      </w:r>
      <w:r>
        <w:rPr/>
        <w:t>× 2 = ____</w:t>
      </w:r>
    </w:p>
    <w:p>
      <w:pPr>
        <w:pStyle w:val="Normal"/>
        <w:rPr/>
      </w:pPr>
      <w:r>
        <w:rPr/>
        <w:t xml:space="preserve">案例研究与法律框架运用 </w:t>
      </w:r>
      <w:r>
        <w:rPr/>
        <w:t>× 2 = ____</w:t>
      </w:r>
    </w:p>
    <w:p>
      <w:pPr>
        <w:pStyle w:val="Normal"/>
        <w:rPr/>
      </w:pPr>
      <w:r>
        <w:rPr/>
        <w:t xml:space="preserve">结构与清晰度 </w:t>
      </w:r>
      <w:r>
        <w:rPr/>
        <w:t>= ____</w:t>
      </w:r>
    </w:p>
    <w:p>
      <w:pPr>
        <w:pStyle w:val="Normal"/>
        <w:rPr/>
      </w:pPr>
      <w:r>
        <w:rPr/>
        <w:t xml:space="preserve">引用与学术写作 </w:t>
      </w:r>
      <w:r>
        <w:rPr/>
        <w:t>= ____</w:t>
      </w:r>
    </w:p>
    <w:p>
      <w:pPr>
        <w:pStyle w:val="Normal"/>
        <w:rPr/>
      </w:pPr>
      <w:r>
        <w:rPr/>
        <w:t>书面报告总分（满分</w:t>
      </w:r>
      <w:r>
        <w:rPr/>
        <w:t>40</w:t>
      </w:r>
      <w:r>
        <w:rPr/>
        <w:t>分）</w:t>
      </w:r>
      <w:r>
        <w:rPr/>
        <w:t>= ____</w:t>
      </w:r>
    </w:p>
    <w:tbl>
      <w:tblPr>
        <w:tblW w:w="700" w:type="dxa"/>
        <w:jc w:val="left"/>
        <w:tblInd w:w="0" w:type="dxa"/>
        <w:tblLayout w:type="fixed"/>
        <w:tblCellMar>
          <w:top w:w="60" w:type="dxa"/>
          <w:left w:w="120" w:type="dxa"/>
          <w:bottom w:w="30" w:type="dxa"/>
          <w:right w:w="120" w:type="dxa"/>
        </w:tblCellMar>
      </w:tblPr>
      <w:tblGrid>
        <w:gridCol w:w="99"/>
        <w:gridCol w:w="100"/>
        <w:gridCol w:w="100"/>
        <w:gridCol w:w="100"/>
        <w:gridCol w:w="100"/>
        <w:gridCol w:w="100"/>
        <w:gridCol w:w="100"/>
      </w:tblGrid>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r>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r>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r>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r>
      <w:tr>
        <w:trPr/>
        <w:tc>
          <w:tcPr>
            <w:tcW w:w="99"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r>
          </w:p>
        </w:tc>
        <w:tc>
          <w:tcPr>
            <w:tcW w:w="100" w:type="dxa"/>
            <w:tcBorders>
              <w:top w:val="single" w:sz="6" w:space="0" w:color="DEE0E3"/>
              <w:left w:val="single" w:sz="6" w:space="0" w:color="DEE0E3"/>
              <w:bottom w:val="single" w:sz="6" w:space="0" w:color="DEE0E3"/>
              <w:right w:val="single" w:sz="6" w:space="0" w:color="DEE0E3"/>
            </w:tcBorders>
          </w:tcPr>
          <w:p>
            <w:pPr>
              <w:pStyle w:val="2"/>
              <w:spacing w:lineRule="auto" w:line="288" w:before="320" w:after="120"/>
              <w:ind w:left="0" w:hanging="0"/>
              <w:jc w:val="left"/>
              <w:rPr/>
            </w:pPr>
            <w:r>
              <w:rPr/>
              <w:t>GROUP ASSESSMENT RUBRIC (ORAL PRESENTATION)</w:t>
            </w:r>
          </w:p>
        </w:tc>
      </w:tr>
    </w:tbl>
    <w:p>
      <w:pPr>
        <w:pStyle w:val="Normal"/>
        <w:rPr/>
      </w:pPr>
      <w:r>
        <w:rPr/>
      </w:r>
    </w:p>
    <w:p>
      <w:pPr>
        <w:pStyle w:val="Normal"/>
        <w:rPr/>
      </w:pPr>
      <w:r>
        <w:rPr/>
        <w:t>评分标准</w:t>
      </w:r>
    </w:p>
    <w:p>
      <w:pPr>
        <w:pStyle w:val="Normal"/>
        <w:rPr/>
      </w:pPr>
      <w:r>
        <w:rPr/>
        <w:t>未达标（</w:t>
      </w:r>
      <w:r>
        <w:rPr/>
        <w:t>1</w:t>
      </w:r>
      <w:r>
        <w:rPr/>
        <w:t>分）</w:t>
      </w:r>
    </w:p>
    <w:p>
      <w:pPr>
        <w:pStyle w:val="Normal"/>
        <w:rPr/>
      </w:pPr>
      <w:r>
        <w:rPr/>
        <w:t>低于平均水平（</w:t>
      </w:r>
      <w:r>
        <w:rPr/>
        <w:t>2</w:t>
      </w:r>
      <w:r>
        <w:rPr/>
        <w:t>分）</w:t>
      </w:r>
    </w:p>
    <w:p>
      <w:pPr>
        <w:pStyle w:val="Normal"/>
        <w:rPr/>
      </w:pPr>
      <w:r>
        <w:rPr/>
        <w:t>平均水平（</w:t>
      </w:r>
      <w:r>
        <w:rPr/>
        <w:t>3</w:t>
      </w:r>
      <w:r>
        <w:rPr/>
        <w:t>分）</w:t>
      </w:r>
    </w:p>
    <w:p>
      <w:pPr>
        <w:pStyle w:val="Normal"/>
        <w:rPr/>
      </w:pPr>
      <w:r>
        <w:rPr/>
        <w:t>高于平均水平（</w:t>
      </w:r>
      <w:r>
        <w:rPr/>
        <w:t>4</w:t>
      </w:r>
      <w:r>
        <w:rPr/>
        <w:t>分）</w:t>
      </w:r>
    </w:p>
    <w:p>
      <w:pPr>
        <w:pStyle w:val="Normal"/>
        <w:rPr/>
      </w:pPr>
      <w:r>
        <w:rPr/>
        <w:t>卓越水平（</w:t>
      </w:r>
      <w:r>
        <w:rPr/>
        <w:t>5</w:t>
      </w:r>
      <w:r>
        <w:rPr/>
        <w:t>分）</w:t>
      </w:r>
    </w:p>
    <w:p>
      <w:pPr>
        <w:pStyle w:val="Normal"/>
        <w:rPr/>
      </w:pPr>
      <w:r>
        <w:rPr/>
        <w:t>得分</w:t>
      </w:r>
    </w:p>
    <w:p>
      <w:pPr>
        <w:pStyle w:val="Normal"/>
        <w:rPr/>
      </w:pPr>
      <w:r>
        <w:rPr/>
        <w:t>内容掌握程度</w:t>
      </w:r>
    </w:p>
    <w:p>
      <w:pPr>
        <w:pStyle w:val="Normal"/>
        <w:rPr/>
      </w:pPr>
      <w:r>
        <w:rPr/>
        <w:t>对关键概念缺乏理解，无法回答基本问题</w:t>
      </w:r>
    </w:p>
    <w:p>
      <w:pPr>
        <w:pStyle w:val="Normal"/>
        <w:rPr/>
      </w:pPr>
      <w:r>
        <w:rPr/>
        <w:t>对内容掌握有限，存在较多错误</w:t>
      </w:r>
    </w:p>
    <w:p>
      <w:pPr>
        <w:pStyle w:val="Normal"/>
        <w:rPr/>
      </w:pPr>
      <w:r>
        <w:rPr/>
        <w:t>基本理解，存在一些不足，能回答简单问题</w:t>
      </w:r>
    </w:p>
    <w:p>
      <w:pPr>
        <w:pStyle w:val="Normal"/>
        <w:rPr/>
      </w:pPr>
      <w:r>
        <w:rPr/>
        <w:t>内容传达清晰准确，能较好地回答问题</w:t>
      </w:r>
    </w:p>
    <w:p>
      <w:pPr>
        <w:pStyle w:val="Normal"/>
        <w:rPr/>
      </w:pPr>
      <w:r>
        <w:rPr/>
        <w:t>理解深入，见解独到，综合能力强，能灵活回答复杂问题</w:t>
      </w:r>
    </w:p>
    <w:p>
      <w:pPr>
        <w:pStyle w:val="Normal"/>
        <w:rPr/>
      </w:pPr>
      <w:r>
        <w:rPr/>
        <w:t>____</w:t>
      </w:r>
    </w:p>
    <w:p>
      <w:pPr>
        <w:pStyle w:val="Normal"/>
        <w:rPr/>
      </w:pPr>
      <w:r>
        <w:rPr/>
        <w:t>清晰度与吸引力</w:t>
      </w:r>
    </w:p>
    <w:p>
      <w:pPr>
        <w:pStyle w:val="Normal"/>
        <w:rPr/>
      </w:pPr>
      <w:r>
        <w:rPr/>
        <w:t>表述不清，缺乏吸引力，听众难以理解</w:t>
      </w:r>
    </w:p>
    <w:p>
      <w:pPr>
        <w:pStyle w:val="Normal"/>
        <w:rPr/>
      </w:pPr>
      <w:r>
        <w:rPr/>
        <w:t>大多表述不清或单调乏味，听众兴趣较低</w:t>
      </w:r>
    </w:p>
    <w:p>
      <w:pPr>
        <w:pStyle w:val="Normal"/>
        <w:rPr/>
      </w:pPr>
      <w:r>
        <w:rPr/>
        <w:t>清晰度和吸引力尚可，听众基本能理解</w:t>
      </w:r>
    </w:p>
    <w:p>
      <w:pPr>
        <w:pStyle w:val="Normal"/>
        <w:rPr/>
      </w:pPr>
      <w:r>
        <w:rPr/>
        <w:t>表述清晰，有吸引力，能吸引听众注意力</w:t>
      </w:r>
    </w:p>
    <w:p>
      <w:pPr>
        <w:pStyle w:val="Normal"/>
        <w:rPr/>
      </w:pPr>
      <w:r>
        <w:rPr/>
        <w:t>极其清晰、生动且引人入胜，能与听众有效互动</w:t>
      </w:r>
    </w:p>
    <w:p>
      <w:pPr>
        <w:pStyle w:val="Normal"/>
        <w:rPr/>
      </w:pPr>
      <w:r>
        <w:rPr/>
        <w:t>____</w:t>
      </w:r>
    </w:p>
    <w:p>
      <w:pPr>
        <w:pStyle w:val="Normal"/>
        <w:rPr/>
      </w:pPr>
      <w:r>
        <w:rPr/>
        <w:t>视觉辅助工具与示例运用</w:t>
      </w:r>
    </w:p>
    <w:p>
      <w:pPr>
        <w:pStyle w:val="Normal"/>
        <w:rPr/>
      </w:pPr>
      <w:r>
        <w:rPr/>
        <w:t>无视觉辅助工具或示例不相关</w:t>
      </w:r>
    </w:p>
    <w:p>
      <w:pPr>
        <w:pStyle w:val="Normal"/>
        <w:rPr/>
      </w:pPr>
      <w:r>
        <w:rPr/>
        <w:t>视觉辅助工具</w:t>
      </w:r>
      <w:r>
        <w:rPr/>
        <w:t>/</w:t>
      </w:r>
      <w:r>
        <w:rPr/>
        <w:t>示例运用极少，相关性低</w:t>
      </w:r>
    </w:p>
    <w:p>
      <w:pPr>
        <w:pStyle w:val="Normal"/>
        <w:rPr/>
      </w:pPr>
      <w:r>
        <w:rPr/>
        <w:t>有一些相关视觉辅助工具</w:t>
      </w:r>
      <w:r>
        <w:rPr/>
        <w:t>/</w:t>
      </w:r>
      <w:r>
        <w:rPr/>
        <w:t>示例，运用一般</w:t>
      </w:r>
    </w:p>
    <w:p>
      <w:pPr>
        <w:pStyle w:val="Normal"/>
        <w:rPr/>
      </w:pPr>
      <w:r>
        <w:rPr/>
        <w:t>有效运用视觉辅助工具和示例，增强表达效果</w:t>
      </w:r>
    </w:p>
    <w:p>
      <w:pPr>
        <w:pStyle w:val="Normal"/>
        <w:rPr/>
      </w:pPr>
      <w:r>
        <w:rPr/>
        <w:t>高度有效、创意且相关地运用视觉辅助工具和示例，突出核心内容</w:t>
      </w:r>
    </w:p>
    <w:p>
      <w:pPr>
        <w:pStyle w:val="Normal"/>
        <w:rPr/>
      </w:pPr>
      <w:r>
        <w:rPr/>
        <w:t>____</w:t>
      </w:r>
    </w:p>
    <w:p>
      <w:pPr>
        <w:pStyle w:val="Normal"/>
        <w:rPr/>
      </w:pPr>
      <w:r>
        <w:rPr/>
        <w:t>团队协作</w:t>
      </w:r>
    </w:p>
    <w:p>
      <w:pPr>
        <w:pStyle w:val="Normal"/>
        <w:rPr/>
      </w:pPr>
      <w:r>
        <w:rPr/>
        <w:t>脱节或由一名成员主导，缺乏配合</w:t>
      </w:r>
    </w:p>
    <w:p>
      <w:pPr>
        <w:pStyle w:val="Normal"/>
        <w:rPr/>
      </w:pPr>
      <w:r>
        <w:rPr/>
        <w:t>参与不均，协作不顺畅</w:t>
      </w:r>
    </w:p>
    <w:p>
      <w:pPr>
        <w:pStyle w:val="Normal"/>
        <w:rPr/>
      </w:pPr>
      <w:r>
        <w:rPr/>
        <w:t>协作一般，基本能完成任务</w:t>
      </w:r>
    </w:p>
    <w:p>
      <w:pPr>
        <w:pStyle w:val="Normal"/>
        <w:rPr/>
      </w:pPr>
      <w:r>
        <w:rPr/>
        <w:t>协作良好，平衡协调，分工明确</w:t>
      </w:r>
    </w:p>
    <w:p>
      <w:pPr>
        <w:pStyle w:val="Normal"/>
        <w:rPr/>
      </w:pPr>
      <w:r>
        <w:rPr/>
        <w:t>协作无缝，共同承担责任，互动自然，展现良好团队精神</w:t>
      </w:r>
    </w:p>
    <w:p>
      <w:pPr>
        <w:pStyle w:val="Normal"/>
        <w:rPr/>
      </w:pPr>
      <w:r>
        <w:rPr/>
      </w:r>
    </w:p>
    <w:sectPr>
      <w:type w:val="nextPage"/>
      <w:pgSz w:w="11906" w:h="16838"/>
      <w:pgMar w:left="1440" w:right="1440" w:gutter="0" w:header="0" w:top="1440" w:footer="0" w:bottom="144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Noto Sans Mono CJK SC">
    <w:charset w:val="01"/>
    <w:family w:val="roman"/>
    <w:pitch w:val="variable"/>
  </w:font>
  <w:font w:name="Times New Roman">
    <w:charset w:val="01"/>
    <w:family w:val="roman"/>
    <w:pitch w:val="variable"/>
  </w:font>
  <w:font w:name="Arial">
    <w:charset w:val="01"/>
    <w:family w:val="swiss"/>
    <w:pitch w:val="variable"/>
  </w:font>
  <w:font w:name="Noto Sans Mono CJK SC">
    <w:charset w:val="01"/>
    <w:family w:val="swiss"/>
    <w:pitch w:val="variable"/>
  </w:font>
</w:fonts>
</file>

<file path=word/settings.xml><?xml version="1.0" encoding="utf-8"?>
<w:settings xmlns:w="http://schemas.openxmlformats.org/wordprocessingml/2006/main">
  <w:zoom w:percent="100"/>
  <w:defaultTabStop w:val="720"/>
  <w:autoHyphenation w:val="true"/>
  <w:compat>
    <w:doNotExpandShiftReturn/>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ans Mono CJK SC" w:cs="Noto Sans Mono CJK SC"/>
        <w:lang w:val="en-US" w:eastAsia="zh-CN" w:bidi="hi-IN"/>
      </w:rPr>
    </w:rPrDefault>
    <w:pPrDefault>
      <w:pPr>
        <w:suppressAutoHyphens w:val="true"/>
      </w:pPr>
    </w:pPrDefault>
  </w:docDefaults>
  <w:style w:type="paragraph" w:styleId="Normal">
    <w:name w:val="Normal"/>
    <w:qFormat/>
    <w:pPr>
      <w:widowControl/>
      <w:bidi w:val="0"/>
      <w:spacing w:before="0" w:after="0"/>
      <w:jc w:val="left"/>
    </w:pPr>
    <w:rPr>
      <w:rFonts w:ascii="Times New Roman" w:hAnsi="Times New Roman" w:eastAsia="Noto Sans Mono CJK SC" w:cs="Noto Sans Mono CJK SC"/>
      <w:color w:val="auto"/>
      <w:kern w:val="0"/>
      <w:sz w:val="20"/>
      <w:szCs w:val="20"/>
      <w:lang w:val="en-US" w:eastAsia="zh-CN" w:bidi="hi-IN"/>
    </w:rPr>
  </w:style>
  <w:style w:type="paragraph" w:styleId="1">
    <w:name w:val="Heading 1"/>
    <w:basedOn w:val="Style9"/>
    <w:qFormat/>
    <w:pPr>
      <w:spacing w:lineRule="auto" w:line="288" w:before="380" w:after="140"/>
      <w:ind w:left="0" w:hanging="0"/>
      <w:jc w:val="left"/>
      <w:outlineLvl w:val="0"/>
    </w:pPr>
    <w:rPr>
      <w:rFonts w:ascii="Arial" w:hAnsi="Arial" w:eastAsia="等线" w:cs="Arial"/>
      <w:b/>
      <w:bCs/>
      <w:sz w:val="36"/>
      <w:szCs w:val="36"/>
    </w:rPr>
  </w:style>
  <w:style w:type="paragraph" w:styleId="2">
    <w:name w:val="Heading 2"/>
    <w:basedOn w:val="Style9"/>
    <w:qFormat/>
    <w:pPr>
      <w:spacing w:lineRule="auto" w:line="288" w:before="320" w:after="120"/>
      <w:ind w:left="0" w:hanging="0"/>
      <w:jc w:val="left"/>
      <w:outlineLvl w:val="1"/>
    </w:pPr>
    <w:rPr>
      <w:rFonts w:ascii="Arial" w:hAnsi="Arial" w:eastAsia="等线" w:cs="Arial"/>
      <w:b/>
      <w:bCs/>
      <w:sz w:val="32"/>
      <w:szCs w:val="32"/>
    </w:rPr>
  </w:style>
  <w:style w:type="paragraph" w:styleId="3">
    <w:name w:val="Heading 3"/>
    <w:basedOn w:val="Style9"/>
    <w:qFormat/>
    <w:pPr>
      <w:spacing w:lineRule="auto" w:line="288" w:before="300" w:after="120"/>
      <w:ind w:left="0" w:hanging="0"/>
      <w:jc w:val="left"/>
      <w:outlineLvl w:val="2"/>
    </w:pPr>
    <w:rPr>
      <w:rFonts w:ascii="Arial" w:hAnsi="Arial" w:eastAsia="等线" w:cs="Arial"/>
      <w:b/>
      <w:bCs/>
      <w:sz w:val="30"/>
      <w:szCs w:val="30"/>
    </w:rPr>
  </w:style>
  <w:style w:type="paragraph" w:styleId="4">
    <w:name w:val="Heading 4"/>
    <w:basedOn w:val="Style9"/>
    <w:qFormat/>
    <w:pPr>
      <w:spacing w:lineRule="auto" w:line="288" w:before="260" w:after="120"/>
      <w:ind w:left="0" w:hanging="0"/>
      <w:jc w:val="left"/>
      <w:outlineLvl w:val="3"/>
    </w:pPr>
    <w:rPr>
      <w:rFonts w:ascii="Arial" w:hAnsi="Arial" w:eastAsia="等线" w:cs="Arial"/>
      <w:b/>
      <w:bCs/>
      <w:sz w:val="28"/>
      <w:szCs w:val="28"/>
    </w:rPr>
  </w:style>
  <w:style w:type="paragraph" w:styleId="5">
    <w:name w:val="Heading 5"/>
    <w:basedOn w:val="Style9"/>
    <w:qFormat/>
    <w:pPr>
      <w:spacing w:lineRule="auto" w:line="288" w:before="240" w:after="120"/>
      <w:ind w:left="0" w:hanging="0"/>
      <w:jc w:val="left"/>
      <w:outlineLvl w:val="4"/>
    </w:pPr>
    <w:rPr>
      <w:rFonts w:ascii="Arial" w:hAnsi="Arial" w:eastAsia="等线" w:cs="Arial"/>
      <w:b/>
      <w:bCs/>
      <w:sz w:val="24"/>
      <w:szCs w:val="24"/>
    </w:rPr>
  </w:style>
  <w:style w:type="paragraph" w:styleId="6">
    <w:name w:val="Heading 6"/>
    <w:basedOn w:val="Style9"/>
    <w:qFormat/>
    <w:pPr>
      <w:spacing w:lineRule="auto" w:line="288" w:before="240" w:after="120"/>
      <w:ind w:left="0" w:hanging="0"/>
      <w:jc w:val="left"/>
      <w:outlineLvl w:val="5"/>
    </w:pPr>
    <w:rPr>
      <w:rFonts w:ascii="Arial" w:hAnsi="Arial" w:eastAsia="等线" w:cs="Arial"/>
      <w:b/>
      <w:bCs/>
      <w:sz w:val="24"/>
      <w:szCs w:val="24"/>
    </w:rPr>
  </w:style>
  <w:style w:type="character" w:styleId="Internet">
    <w:name w:val="Internet 链接"/>
    <w:uiPriority w:val="99"/>
    <w:unhideWhenUsed/>
    <w:rPr>
      <w:color w:val="0563C1"/>
      <w:u w:val="single"/>
    </w:rPr>
  </w:style>
  <w:style w:type="character" w:styleId="Style8">
    <w:name w:val="脚注锚点"/>
    <w:rPr>
      <w:vertAlign w:val="superscript"/>
    </w:rPr>
  </w:style>
  <w:style w:type="character" w:styleId="FootnoteCharacters">
    <w:name w:val="Footnote Characters"/>
    <w:uiPriority w:val="99"/>
    <w:semiHidden/>
    <w:unhideWhenUsed/>
    <w:qFormat/>
    <w:rPr>
      <w:vertAlign w:val="superscript"/>
    </w:rPr>
  </w:style>
  <w:style w:type="character" w:styleId="FootnoteTextChar">
    <w:name w:val="Footnote Text Char"/>
    <w:uiPriority w:val="99"/>
    <w:semiHidden/>
    <w:unhideWhenUsed/>
    <w:qFormat/>
    <w:rPr>
      <w:sz w:val="20"/>
      <w:szCs w:val="20"/>
    </w:rPr>
  </w:style>
  <w:style w:type="paragraph" w:styleId="Style9">
    <w:name w:val="标题样式"/>
    <w:basedOn w:val="Normal"/>
    <w:next w:val="Style10"/>
    <w:qFormat/>
    <w:pPr>
      <w:keepNext w:val="true"/>
      <w:spacing w:before="240" w:after="120"/>
    </w:pPr>
    <w:rPr>
      <w:rFonts w:ascii="Noto Sans Mono CJK SC" w:hAnsi="Noto Sans Mono CJK SC" w:eastAsia="Noto Sans Mono CJK SC" w:cs="Noto Sans Mono CJK SC"/>
      <w:sz w:val="28"/>
      <w:szCs w:val="28"/>
    </w:rPr>
  </w:style>
  <w:style w:type="paragraph" w:styleId="Style10">
    <w:name w:val="Body Text"/>
    <w:basedOn w:val="Normal"/>
    <w:pPr>
      <w:spacing w:lineRule="auto" w:line="276" w:before="0" w:after="140"/>
    </w:pPr>
    <w:rPr/>
  </w:style>
  <w:style w:type="paragraph" w:styleId="Style11">
    <w:name w:val="List"/>
    <w:basedOn w:val="Style10"/>
    <w:pPr/>
    <w:rPr/>
  </w:style>
  <w:style w:type="paragraph" w:styleId="Style12">
    <w:name w:val="Caption"/>
    <w:basedOn w:val="Normal"/>
    <w:qFormat/>
    <w:pPr>
      <w:suppressLineNumbers/>
      <w:spacing w:before="120" w:after="120"/>
    </w:pPr>
    <w:rPr>
      <w:i/>
      <w:iCs/>
      <w:sz w:val="24"/>
      <w:szCs w:val="24"/>
    </w:rPr>
  </w:style>
  <w:style w:type="paragraph" w:styleId="Style13">
    <w:name w:val="索引"/>
    <w:basedOn w:val="Normal"/>
    <w:qFormat/>
    <w:pPr>
      <w:suppressLineNumbers/>
    </w:pPr>
    <w:rPr>
      <w:lang w:val="zxx" w:eastAsia="zxx" w:bidi="zxx"/>
    </w:rPr>
  </w:style>
  <w:style w:type="paragraph" w:styleId="Style14">
    <w:name w:val="Title"/>
    <w:basedOn w:val="Style9"/>
    <w:qFormat/>
    <w:pPr>
      <w:spacing w:lineRule="auto" w:line="288" w:before="480" w:after="480"/>
      <w:ind w:left="0" w:hanging="0"/>
    </w:pPr>
    <w:rPr>
      <w:rFonts w:ascii="Arial" w:hAnsi="Arial" w:eastAsia="等线" w:cs="Arial"/>
      <w:b/>
      <w:bCs/>
      <w:sz w:val="52"/>
      <w:szCs w:val="52"/>
    </w:rPr>
  </w:style>
  <w:style w:type="paragraph" w:styleId="Strong">
    <w:name w:val="Strong"/>
    <w:qFormat/>
    <w:pPr>
      <w:widowControl/>
      <w:bidi w:val="0"/>
      <w:spacing w:before="0" w:after="0"/>
      <w:jc w:val="left"/>
    </w:pPr>
    <w:rPr>
      <w:rFonts w:ascii="Times New Roman" w:hAnsi="Times New Roman" w:eastAsia="Noto Sans Mono CJK SC" w:cs="Noto Sans Mono CJK SC"/>
      <w:b/>
      <w:bCs/>
      <w:color w:val="auto"/>
      <w:kern w:val="0"/>
      <w:sz w:val="20"/>
      <w:szCs w:val="20"/>
      <w:lang w:val="en-US" w:eastAsia="zh-CN" w:bidi="hi-IN"/>
    </w:rPr>
  </w:style>
  <w:style w:type="paragraph" w:styleId="ListParagraph">
    <w:name w:val="List Paragraph"/>
    <w:qFormat/>
    <w:pPr>
      <w:widowControl/>
      <w:bidi w:val="0"/>
      <w:spacing w:before="0" w:after="0"/>
      <w:jc w:val="left"/>
    </w:pPr>
    <w:rPr>
      <w:rFonts w:ascii="Times New Roman" w:hAnsi="Times New Roman" w:eastAsia="Noto Sans Mono CJK SC" w:cs="Noto Sans Mono CJK SC"/>
      <w:color w:val="auto"/>
      <w:kern w:val="0"/>
      <w:sz w:val="20"/>
      <w:szCs w:val="20"/>
      <w:lang w:val="en-US" w:eastAsia="zh-CN" w:bidi="hi-IN"/>
    </w:rPr>
  </w:style>
  <w:style w:type="paragraph" w:styleId="Style15">
    <w:name w:val="Footnote Text"/>
    <w:basedOn w:val="Normal"/>
    <w:link w:val="FootnoteTextChar"/>
    <w:uiPriority w:val="99"/>
    <w:semiHidden/>
    <w:unhideWhenUsed/>
    <w:pPr>
      <w:spacing w:lineRule="auto" w:line="240" w:before="0" w:after="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LibreOfficeDev/7.3.1.3.0$Android_AARCH64 LibreOffice_project/</Application>
  <AppVersion>15.0000</AppVersion>
  <Pages>30</Pages>
  <Words>9773</Words>
  <Characters>55081</Characters>
  <CharactersWithSpaces>63225</CharactersWithSpaces>
  <Paragraphs>353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2025-11-23T03:37:27Z</dcterms:created>
  <dc:creator>Un-named</dc:creator>
  <dc:description/>
  <dc:language>zh-CN</dc:language>
  <cp:lastModifiedBy/>
  <dcterms:modified xsi:type="dcterms:W3CDTF">2025-11-23T11:42:18Z</dcterms:modified>
  <cp:revision>2</cp:revision>
  <dc:subject/>
  <dc:title/>
</cp:coreProperties>
</file>