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
  <Relationship Id="rId3" Type="http://schemas.openxmlformats.org/package/2006/relationships/metadata/core-properties" Target="docProps/core.xml"></Relationship>
  <Relationship Id="rId4" Type="http://schemas.openxmlformats.org/officeDocument/2006/relationships/extended-properties" Target="docProps/app.xml"></Relationship>
  <Relationship Id="rId1" Type="http://schemas.openxmlformats.org/officeDocument/2006/relationships/officeDocument" Target="word/document.xml"></Relationship>
  <Relationship Id="rId2" Type="http://schemas.openxmlformats.org/package/2006/relationships/metadata/thumbnail" Target="docProps/thumbnail.jpeg"></Relationship>
  <Relationship Id="rId5" Type="http://schemas.openxmlformats.org/officeDocument/2006/relationships/custom-properties" Target="docProps/custom.xml"></Relationship>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240"/>
        <w:jc w:val="center"/>
      </w:pPr>
      <w:r>
        <w:rPr>
          <w:rFonts w:ascii="Times New Roman" w:hAnsi="Times New Roman" w:cs="Times New Roman" w:eastAsia="Times New Roman"/>
          <w:rFonts w:ascii="Times New Roman" w:hAnsi="Times New Roman"/>
          <w:b/>
          <w:sz w:val="36"/>
        </w:rPr>
        <w:t>A Comparative Study of Special Vocational Education and Employment Transition in Shanghai and Kuala Lumpur Metropolitan Area</w:t>
      </w:r>
    </w:p>
    <w:p>
      <w:pPr>
        <w:spacing w:line="360" w:lineRule="auto"/>
        <w:jc w:val="center"/>
      </w:pPr>
      <w:r>
        <w:rPr>
          <w:rFonts w:ascii="Times New Roman" w:hAnsi="Times New Roman"/>
          <w:b/>
          <w:sz w:val="26"/>
        </w:rPr>
        <w:t>— Based on Multidimensional Analysis of School Curriculum, Skill Certification, Internship Practice, and Continuous Employment Support</w:t>
      </w:r>
    </w:p>
    <w:p>
      <w:pPr>
        <w:spacing w:line="360" w:lineRule="auto" w:before="120" w:after="120"/>
      </w:pPr>
      <w:r>
        <w:rPr>
          <w:rFonts w:ascii="Times New Roman" w:hAnsi="Times New Roman" w:cs="Times New Roman" w:eastAsia="Times New Roman"/>
          <w:rFonts w:ascii="Times New Roman" w:hAnsi="Times New Roman"/>
          <w:b/>
          <w:sz w:val="28"/>
        </w:rPr>
        <w:t>Abstract</w:t>
      </w:r>
    </w:p>
    <w:p>
      <w:pPr>
        <w:spacing w:line="360" w:lineRule="auto" w:before="0" w:after="120"/>
      </w:pPr>
      <w:r>
        <w:rPr>
          <w:rFonts w:ascii="Times New Roman" w:hAnsi="Times New Roman" w:cs="Times New Roman" w:eastAsia="Times New Roman"/>
          <w:b w:val="0"/>
          <w:sz w:val="24"/>
        </w:rPr>
        <w:t>The ultimate goal of special vocational education is not merely to complete in-school skill training, but to achieve a stable transition from school to real workplaces and from entry to sustained employment. This paper takes the special education class at Shanghai Fengxian Secondary Vocational School as the Shanghai sample, and the special vocational education and disability employment support system within Kuala Lumpur city and the Greater Klang Valley as the comparative sample. It systematically compares the two cities in terms of policy framework, training pathways, curriculum and certification, internship and practicum, Job Coach and continuous support, employment outcomes, and limitations. The study reveals that Shanghai has formed a closed school-based system centered on district-level special vocational education programs, four-year professional curricula, and on-campus to off-campus job cognition and internship transition, with high individualization and integration, but still insufficient in enterprise internship resources, unified skill certification, and third-party employment coaching. The Kuala Lumpur metropolitan area features a multi-sector system integrating Ministry of Education SMPKV skill certification, Social Welfare Department (JKM) Job Coach, sheltered workshops, NGO vocational preparation, and corporate supported employment, with more explicit job matching and continuous support mechanisms, yet lacking unified data, certification, and retention tracking across institutions. The implications for emerging special vocational education systems such as Brunei are to establish a closed loop of individualized vocational assessment, task analysis, skill certification or micro-credentials, enterprise internship, Job Coach continuous follow-up, and 6/12-month retention evaluation.</w:t>
      </w:r>
    </w:p>
    <w:p>
      <w:pPr>
        <w:spacing w:line="360" w:lineRule="auto" w:after="200"/>
      </w:pPr>
      <w:r>
        <w:rPr>
          <w:rFonts w:ascii="Times New Roman" w:hAnsi="Times New Roman"/>
          <w:b/>
          <w:sz w:val="24"/>
        </w:rPr>
        <w:t xml:space="preserve">Keywords: </w:t>
      </w:r>
      <w:r>
        <w:rPr>
          <w:rFonts w:ascii="Times New Roman" w:hAnsi="Times New Roman"/>
          <w:sz w:val="24"/>
        </w:rPr>
        <w:t>special vocational education; employment transition; Job Coach; supported employment; Shanghai Fengxian; Kuala Lumpur; SMPKV; sustained employment</w:t>
      </w:r>
    </w:p>
    <w:p>
      <w:pPr>
        <w:spacing w:line="360" w:lineRule="auto" w:before="240" w:after="120"/>
      </w:pPr>
      <w:r>
        <w:rPr>
          <w:rFonts w:ascii="Times New Roman" w:hAnsi="Times New Roman" w:cs="Times New Roman" w:eastAsia="Times New Roman"/>
          <w:rFonts w:ascii="Times New Roman" w:hAnsi="Times New Roman"/>
          <w:b/>
          <w:sz w:val="32"/>
        </w:rPr>
        <w:t>1 Introduction and Comparative Framework</w:t>
      </w:r>
    </w:p>
    <w:p>
      <w:pPr>
        <w:spacing w:line="360" w:lineRule="auto" w:before="0" w:after="120"/>
        <w:ind w:firstLine="480"/>
      </w:pPr>
      <w:r>
        <w:rPr>
          <w:rFonts w:ascii="Times New Roman" w:hAnsi="Times New Roman" w:cs="Times New Roman" w:eastAsia="Times New Roman"/>
          <w:b w:val="0"/>
          <w:sz w:val="24"/>
        </w:rPr>
        <w:t>Whether students with special needs can enter the labor market and remain employed after receiving secondary-level vocational education depends on the coupling of four types of variables: policy and institutional positioning; curriculum and skill certification; internship and job cognition; and post-employment continuous support. Intellectual disability, autism, learning disabilities, and physical disabilities differ in task execution, social communication, sensory regulation, and commuting safety; therefore, being able to perform a certain skill does not necessarily equal being able to sustain employment in a real job. International research summarizes factors affecting retention into individual job skills and soft skills, workplace reasonable accommodations, supervisor and coworker natural supports, ongoing Job Coach or employment specialist follow-up, family and welfare incentives, and macro-level certification and quota policies (Carlson et al., 2020; Al-Kindi, 2026).</w:t>
      </w:r>
    </w:p>
    <w:p>
      <w:pPr>
        <w:spacing w:line="360" w:lineRule="auto" w:before="0" w:after="120"/>
        <w:ind w:firstLine="480"/>
      </w:pPr>
      <w:r>
        <w:rPr>
          <w:rFonts w:ascii="Times New Roman" w:hAnsi="Times New Roman" w:cs="Times New Roman" w:eastAsia="Times New Roman"/>
          <w:b w:val="0"/>
          <w:sz w:val="24"/>
        </w:rPr>
        <w:t>This paper defines the unit of comparison as an urban special vocational education and employment support system, rather than equating the two cities as completely isomorphic administrative systems. Shanghai is unified under provincial-level special vocational education policies implemented at district-level schools. Kuala Lumpur, due to federalism, features a division of labor among the Ministry of Education's special vocational schools, the Social Welfare Department's disability employment services, the Ministry of Women, Family and Community Development's sheltered workshops, and NGOs and corporate academies. To avoid administrative confusion, Kuala Lumpur is strictly limited to institutions within the Federal Territory; Shah Alam, Klang, Bangi, and other locations are classified as Greater Kuala Lumpur or the Klang Valley for commuting and policy reference only.</w:t>
      </w:r>
    </w:p>
    <w:p>
      <w:pPr>
        <w:spacing w:line="360" w:lineRule="auto" w:before="240" w:after="120"/>
      </w:pPr>
      <w:r>
        <w:rPr>
          <w:rFonts w:ascii="Times New Roman" w:hAnsi="Times New Roman" w:cs="Times New Roman" w:eastAsia="Times New Roman"/>
          <w:rFonts w:ascii="Times New Roman" w:hAnsi="Times New Roman"/>
          <w:b/>
          <w:sz w:val="32"/>
        </w:rPr>
        <w:t>2 Policy Framework and Institutional Positioning</w:t>
      </w:r>
    </w:p>
    <w:p>
      <w:pPr>
        <w:spacing w:line="360" w:lineRule="auto" w:before="120" w:after="120"/>
      </w:pPr>
      <w:r>
        <w:rPr>
          <w:rFonts w:ascii="Times New Roman" w:hAnsi="Times New Roman" w:cs="Times New Roman" w:eastAsia="Times New Roman"/>
          <w:rFonts w:ascii="Times New Roman" w:hAnsi="Times New Roman"/>
          <w:b/>
          <w:sz w:val="28"/>
        </w:rPr>
        <w:t>2.1 Shanghai: District-Level Special Vocational Education Programs Plus City-Wide Curriculum Plan</w:t>
      </w:r>
    </w:p>
    <w:p>
      <w:pPr>
        <w:spacing w:line="360" w:lineRule="auto" w:before="0" w:after="120"/>
        <w:ind w:firstLine="480"/>
      </w:pPr>
      <w:r>
        <w:rPr>
          <w:rFonts w:ascii="Times New Roman" w:hAnsi="Times New Roman" w:cs="Times New Roman" w:eastAsia="Times New Roman"/>
          <w:b w:val="0"/>
          <w:sz w:val="24"/>
        </w:rPr>
        <w:t>In 2017, the Shanghai Municipal Education Commission and the Shanghai Disabled Persons' Federation issued the Implementation Opinions on Strengthening the Management of Special Vocational Education, requiring each district to establish at least one district-level special secondary vocational education site for students with intellectual disabilities, autism, and cerebral palsy; districts with larger populations could add more sites (Shanghai Municipal Education Commission &amp; Shanghai Disabled Persons' Federation, 2017). In 2018, the Municipal Education Commission issued the Shanghai Special Secondary Vocational Education School (Class) Curriculum Plan (Trial), applicable to intellectual disability, autism, and cerebral palsy. The plan divides courses into public foundation, professional vocation, and rehabilitation, mandates individualized education plans (IEPs), and ensures apprenticeship, internship, and practical training time, with evaluation oriented toward individualized career development tracking (Shanghai Municipal Education Commission, 2018). In 2024, the Commission reiterated in a proposal reply that all special schools should offer life adaptation and labor skills according to national curricula, districts should provide career guidance and transition services, and special vocational classes should enhance employment adaptability through professional courses (Shanghai Municipal Education Commission, 2024).</w:t>
      </w:r>
    </w:p>
    <w:p>
      <w:pPr>
        <w:spacing w:line="360" w:lineRule="auto" w:before="0" w:after="120"/>
        <w:ind w:firstLine="480"/>
      </w:pPr>
      <w:r>
        <w:rPr>
          <w:rFonts w:ascii="Times New Roman" w:hAnsi="Times New Roman" w:cs="Times New Roman" w:eastAsia="Times New Roman"/>
          <w:b w:val="0"/>
          <w:sz w:val="24"/>
        </w:rPr>
        <w:t>Thus, the Shanghai model is characterized by municipal plans, district-level sites, school-based IEPs, and internship transition into enterprises. Its advantage lies in guaranteed access and standardized curricula; its limitation is that enterprise internships still rely heavily on schools' initiative, with insufficient supply of ordinary enterprises willing to accept students with intellectual, autistic, or cerebral palsy conditions.</w:t>
      </w:r>
    </w:p>
    <w:p>
      <w:pPr>
        <w:spacing w:line="360" w:lineRule="auto" w:before="120" w:after="120"/>
      </w:pPr>
      <w:r>
        <w:rPr>
          <w:rFonts w:ascii="Times New Roman" w:hAnsi="Times New Roman" w:cs="Times New Roman" w:eastAsia="Times New Roman"/>
          <w:rFonts w:ascii="Times New Roman" w:hAnsi="Times New Roman"/>
          <w:b/>
          <w:sz w:val="28"/>
        </w:rPr>
        <w:t>2.2 Kuala Lumpur Metropolitan Area: Multi-Sector Division and Supported Employment</w:t>
      </w:r>
    </w:p>
    <w:p>
      <w:pPr>
        <w:spacing w:line="360" w:lineRule="auto" w:before="0" w:after="120"/>
        <w:ind w:firstLine="480"/>
      </w:pPr>
      <w:r>
        <w:rPr>
          <w:rFonts w:ascii="Times New Roman" w:hAnsi="Times New Roman" w:cs="Times New Roman" w:eastAsia="Times New Roman"/>
          <w:b w:val="0"/>
          <w:sz w:val="24"/>
        </w:rPr>
        <w:t>At the federal level, the Ministry of Education operates SMPKV (Sekolah Menengah Pendidikan Khas Vokasional) for students with learning disabilities. The Social Welfare Department (JKM) provides employment assessment and continuous support through Job Coach, district offices, PLPP, and PPDK. The Ministry of Women, Family and Community Development (KPWKM) runs sheltered workshops such as Bengkel Daya. NGOs and corporate foundations supplement vocational preparation for autism and developmental disorders. This division is not a unified Kuala Lumpur special education bureau model, but is segmented by service target and stage.</w:t>
      </w:r>
    </w:p>
    <w:p>
      <w:pPr>
        <w:spacing w:line="360" w:lineRule="auto" w:before="0" w:after="120"/>
        <w:ind w:firstLine="480"/>
      </w:pPr>
      <w:r>
        <w:rPr>
          <w:rFonts w:ascii="Times New Roman" w:hAnsi="Times New Roman" w:cs="Times New Roman" w:eastAsia="Times New Roman"/>
          <w:b w:val="0"/>
          <w:sz w:val="24"/>
        </w:rPr>
        <w:t>The Ministry of Education's 2017 report stated that four national SMPKVs were established in Shah Alam, Kuantan, Indahpura, and Merbok, offering 25 SKM (Sijil Kemahiran Malaysia) Level 1 to 3 courses. In 2017, 785 upper secondary students were enrolled, and 218 participated in JPK final skill assessments (Malaysia Ministry of Education, 2017). This indicates that special vocational education has been integrated into the TVET certification system, but the four schools are not all located in Kuala Lumpur; the nearest and most frequently cited as a metropolitan sample is SMPKV Shah Alam.</w:t>
      </w:r>
    </w:p>
    <w:p>
      <w:pPr>
        <w:spacing w:line="360" w:lineRule="auto" w:before="0" w:after="120"/>
        <w:ind w:firstLine="480"/>
      </w:pPr>
      <w:r>
        <w:rPr>
          <w:rFonts w:ascii="Times New Roman" w:hAnsi="Times New Roman" w:cs="Times New Roman" w:eastAsia="Times New Roman"/>
          <w:b w:val="0"/>
          <w:sz w:val="24"/>
        </w:rPr>
        <w:t>The JKM Job Coach system serves all registered Persons with Disabilities (OKU). Its responsibilities include assessing the person, assessing the workplace, job matching, intensive on-site support, building natural supports with colleagues, and follow-up. Employers can apply for services through the Job Coach Network, with a subsidy of RM 15 per hour, up to 60 hours, and a maximum of RM 900 per person (Yusop, n.d.; Jabatan Kebajikan Masyarakat, n.d.). This mechanism externalizes post-school employment support, contrasting with Shanghai's model in which support is mainly provided by school teachers and internship base mentors.</w:t>
      </w:r>
    </w:p>
    <w:p>
      <w:pPr>
        <w:spacing w:line="360" w:lineRule="auto" w:before="240" w:after="120"/>
      </w:pPr>
      <w:r>
        <w:rPr>
          <w:rFonts w:ascii="Times New Roman" w:hAnsi="Times New Roman" w:cs="Times New Roman" w:eastAsia="Times New Roman"/>
          <w:rFonts w:ascii="Times New Roman" w:hAnsi="Times New Roman"/>
          <w:b/>
          <w:sz w:val="32"/>
        </w:rPr>
        <w:t>3 Curriculum, Training Pathways, and Skill Certification</w:t>
      </w:r>
    </w:p>
    <w:p>
      <w:pPr>
        <w:spacing w:line="360" w:lineRule="auto" w:before="120" w:after="120"/>
      </w:pPr>
      <w:r>
        <w:rPr>
          <w:rFonts w:ascii="Times New Roman" w:hAnsi="Times New Roman" w:cs="Times New Roman" w:eastAsia="Times New Roman"/>
          <w:rFonts w:ascii="Times New Roman" w:hAnsi="Times New Roman"/>
          <w:b/>
          <w:sz w:val="28"/>
        </w:rPr>
        <w:t>3.1 Shanghai Fengxian Secondary Vocational School Special Education Class: Four-Year Culinary Arts as Core, Dual-Layer On-Campus and Off-Campus Training</w:t>
      </w:r>
    </w:p>
    <w:p>
      <w:pPr>
        <w:spacing w:line="360" w:lineRule="auto" w:before="0" w:after="120"/>
        <w:ind w:firstLine="480"/>
      </w:pPr>
      <w:r>
        <w:rPr>
          <w:rFonts w:ascii="Times New Roman" w:hAnsi="Times New Roman" w:cs="Times New Roman" w:eastAsia="Times New Roman"/>
          <w:b w:val="0"/>
          <w:sz w:val="24"/>
        </w:rPr>
        <w:t>Fengxian District launched its first special vocational class in September 2017 at Shanghai Industrial and Commercial Technical School. The class was fully transferred to Shanghai Fengxian Secondary Vocational School in January 2020 and named the Special Vocational Class. It offers a four-year Chinese Cuisine Cooking and Nutrition program; in 2021, 53 students were enrolled (Eastday Education, 2021). The external curriculum framework follows the Shanghai Special Vocational Curriculum Plan. Public foundation courses include professional ethics, law, and career planning. Professional courses focus on cooking, supplemented by pastry, housekeeping, communication, and cleaning. Rehabilitation and individualized support compensate for functional limitations and enhance self-service and social adaptation (Shanghai Municipal Education Commission, 2018; Fengxian Secondary Vocational School, 2026a).</w:t>
      </w:r>
    </w:p>
    <w:p>
      <w:pPr>
        <w:spacing w:line="360" w:lineRule="auto" w:before="0" w:after="120"/>
        <w:ind w:firstLine="480"/>
      </w:pPr>
      <w:r>
        <w:rPr>
          <w:rFonts w:ascii="Times New Roman" w:hAnsi="Times New Roman" w:cs="Times New Roman" w:eastAsia="Times New Roman"/>
          <w:b w:val="0"/>
          <w:sz w:val="24"/>
        </w:rPr>
        <w:t>Its practical training system has three tiers. The first tier is on-campus professional training. Cooking training rooms deliver Chinese cuisine, Western pastry, and dim sum. In 2026, Fengxian Secondary Vocational School demonstrated potato cakes and milk crust cups to parents and students from Huimin School, with consultation at the Xinyuan Xiaoshe coffee base (Fengxian Secondary Vocational School, 2026b). The second tier is on-campus integrated job cognition. The Xinyuan Xiaoshe coffee base has operated since around 2021. Special education students take classes together with ordinary hotel major students, learning coffee brewing, customer service, and job cognition. Some students later entered off-campus coffee shops for summer part-time jobs (Tencent News, 2023). The value lies not in teaching how to drink coffee, but in integrating ordering, cleaning, brewing, money handling, and customer response into an observable task chain. The third tier is the Overpass Project (Li Jiao Qiao) single-subject supplementation. In the spring 2026 semester, to meet the personalized needs of special education institutions in Changning, Pudong, Fengxian, and Xuhui, single courses such as home cleaning practice, communication and etiquette, home management, Chinese and Western pastry making, food nutrition, and hygiene were offered for currently enrolled or graduated special students (Fengxian Secondary Vocational School, 2026a). This tier is not equivalent to a diploma major, but complements cooking with housekeeping, pastry, nutrition, and communication modules.</w:t>
      </w:r>
    </w:p>
    <w:p>
      <w:pPr>
        <w:spacing w:line="360" w:lineRule="auto" w:before="0" w:after="120"/>
        <w:ind w:firstLine="480"/>
      </w:pPr>
      <w:r>
        <w:rPr>
          <w:rFonts w:ascii="Times New Roman" w:hAnsi="Times New Roman" w:cs="Times New Roman" w:eastAsia="Times New Roman"/>
          <w:b w:val="0"/>
          <w:sz w:val="24"/>
        </w:rPr>
        <w:t>Fengxian's shortcomings are also evident. First, the special vocational diploma curriculum mainly focuses on Chinese cuisine. Although the Overpass Project expands into pastry and housekeeping, compared with SMPKV's multiple trades, the skill coverage is narrower. Second, while the Shanghai curriculum plan mandates internship and practical training, city-wide reports still indicate difficulties in finding enterprises for students with intellectual disabilities, autism, and cerebral palsy. Centralized classes, simple operations, and the need for subsidies to sustain placements are common (Yang, 2021). Therefore, Fengxian's employment transition is more characterized by long-term on-campus training plus a small number of off-campus coffee and housekeeping experiences, and has not yet formed a routine external Job Coach deployment comparable to JKM.</w:t>
      </w:r>
    </w:p>
    <w:p>
      <w:pPr>
        <w:spacing w:line="360" w:lineRule="auto" w:before="120" w:after="120"/>
      </w:pPr>
      <w:r>
        <w:rPr>
          <w:rFonts w:ascii="Times New Roman" w:hAnsi="Times New Roman" w:cs="Times New Roman" w:eastAsia="Times New Roman"/>
          <w:rFonts w:ascii="Times New Roman" w:hAnsi="Times New Roman"/>
          <w:b/>
          <w:sz w:val="28"/>
        </w:rPr>
        <w:t>3.2 Kuala Lumpur Metropolitan Area: SMPKV Certification System and Multi-Institution Diversion</w:t>
      </w:r>
    </w:p>
    <w:p>
      <w:pPr>
        <w:spacing w:line="360" w:lineRule="auto" w:before="0" w:after="120"/>
        <w:ind w:firstLine="480"/>
      </w:pPr>
      <w:r>
        <w:rPr>
          <w:rFonts w:ascii="Times New Roman" w:hAnsi="Times New Roman" w:cs="Times New Roman" w:eastAsia="Times New Roman"/>
          <w:b w:val="0"/>
          <w:sz w:val="24"/>
        </w:rPr>
        <w:t>SMPKV Shah Alam is located in Shah Alam, Selangor, within the Klang Valley commuting circle. It formerly served hearing-impaired students and later expanded to learning disabilities. Public visit materials list it as a JPK-recognized center offering ladies' garment making, food preparation, hairdressing, air-conditioning installation and maintenance, welding, building construction, furniture production, electrical work, hand-drawn batik, and desktop publishing (WALS, 2022; International Journal of Creative Writing and English Literature, 2021). The Ministry of Education's 2017 report stated that national SMPKVs offered 25 SKM Level 1 to 3 courses. The specific course levels at Shah Alam are adjusted annually based on JPK certification. Its training logic is: secondary vocational stage, JPK skill standards, SKM certificate, open employment, or further TVET. Compared with Fengxian's culinary diploma and school-based coffee model, SMPKV runs multiple industrial and life-service trades in parallel, with more standardized certification linked to the external labor market.</w:t>
      </w:r>
    </w:p>
    <w:p>
      <w:pPr>
        <w:spacing w:line="360" w:lineRule="auto" w:before="0" w:after="120"/>
        <w:ind w:firstLine="480"/>
      </w:pPr>
      <w:r>
        <w:rPr>
          <w:rFonts w:ascii="Times New Roman" w:hAnsi="Times New Roman" w:cs="Times New Roman" w:eastAsia="Times New Roman"/>
          <w:b w:val="0"/>
          <w:sz w:val="24"/>
        </w:rPr>
        <w:t>PPKI (Special Education Integrated Program) in ordinary secondary schools may enter vocational directions through basic vocational education, micro-credentials, or transfer to Kolej Vokasional for SKM pathways. This path is more feasible for mild-to-moderate students with literacy and self-care foundations, but is not necessarily suitable for severe intellectual disabilities or those needing long-term behavioral support. Due to a lack of verified 2026 data on PPKI micro-credential pilots in Kuala Lumpur or Selangor, coverage rates are not inferred here.</w:t>
      </w:r>
    </w:p>
    <w:p>
      <w:pPr>
        <w:spacing w:line="360" w:lineRule="auto" w:before="0" w:after="120"/>
        <w:ind w:firstLine="480"/>
      </w:pPr>
      <w:r>
        <w:rPr>
          <w:rFonts w:ascii="Times New Roman" w:hAnsi="Times New Roman" w:cs="Times New Roman" w:eastAsia="Times New Roman"/>
          <w:b w:val="0"/>
          <w:sz w:val="24"/>
        </w:rPr>
        <w:t>Wisma Harapan Brickfields is within the Federal Territory of Kuala Lumpur, serving autism, Down syndrome, and learning disabilities. It provides life skills, general handicrafts, sewing, employment preparation, job placement assistance, and behavior management, mainly for ages 18 to 25 and above (MIND/SAMH, n.d.-a; Star/MIND, 2018). It does not primarily award national SKM diplomas, but undertakes preparation and placement functions from special education to employment. Its value lies in individualized vocational behavior training for ASD and multiple developmental disorders, followed by transition to open or transitional jobs via Job Coach or cooperative enterprises.</w:t>
      </w:r>
    </w:p>
    <w:p>
      <w:pPr>
        <w:spacing w:line="360" w:lineRule="auto" w:before="0" w:after="120"/>
        <w:ind w:firstLine="480"/>
      </w:pPr>
      <w:r>
        <w:rPr>
          <w:rFonts w:ascii="Times New Roman" w:hAnsi="Times New Roman" w:cs="Times New Roman" w:eastAsia="Times New Roman"/>
          <w:b w:val="0"/>
          <w:sz w:val="24"/>
        </w:rPr>
        <w:t>Bengkel Daya Klang, under KPWKM/JKM, serves registered OKU aged 18 to 45, including moderate learning disabilities and physical disabilities, with work units in sewing, embroidery, bread and pastry, laundry, retail, and catering. It is positioned as a sheltered skill and employment place for those unable to compete directly in the open market (Jabatan Kebajikan Masyarakat, n.d.; Bernama, 2024). In 2024, KPWKM announced cooperation with Gardenia KL to strengthen baking, indicating that sheltered workshops can leverage corporate technology to improve product quality and expand transitional positions (Bernama, 2024). Its limitation is that internal work units do not equate to open employment retention. In paper comparisons, sheltered retention should be listed separately and not merged into enterprise employment rates.</w:t>
      </w:r>
    </w:p>
    <w:p>
      <w:pPr>
        <w:spacing w:line="360" w:lineRule="auto" w:before="0" w:after="120"/>
        <w:ind w:firstLine="480"/>
      </w:pPr>
      <w:r>
        <w:rPr>
          <w:rFonts w:ascii="Times New Roman" w:hAnsi="Times New Roman" w:cs="Times New Roman" w:eastAsia="Times New Roman"/>
          <w:b w:val="0"/>
          <w:sz w:val="24"/>
        </w:rPr>
        <w:t>PLPP Bangi provides adult physical disability rehabilitation and skill training for ages 18 to 40. Courses include Office Management SKM Level 2, electrical installation, prosthetics and orthotics, metal and wheelchair manufacturing, fine arts, and batik. JKM lists it as a Job Coach service point (Jabatan Kebajikan Masyarakat, n.d.; Borneo Post, 2011). It complements SMPKV by covering physical disabilities, especially high-technology trades such as prosthetics and electrical work. However, its target group does not primarily include autism or intellectual disabilities, so it cannot be directly equated with Fengxian's cooking class.</w:t>
      </w:r>
    </w:p>
    <w:p>
      <w:pPr>
        <w:spacing w:line="360" w:lineRule="auto" w:before="240" w:after="120"/>
      </w:pPr>
      <w:r>
        <w:rPr>
          <w:rFonts w:ascii="Times New Roman" w:hAnsi="Times New Roman" w:cs="Times New Roman" w:eastAsia="Times New Roman"/>
          <w:rFonts w:ascii="Times New Roman" w:hAnsi="Times New Roman"/>
          <w:b/>
          <w:sz w:val="32"/>
        </w:rPr>
        <w:t>4 Evaluation of Off-Campus Internship Resources in Fengxian</w:t>
      </w:r>
    </w:p>
    <w:p>
      <w:pPr>
        <w:spacing w:line="360" w:lineRule="auto" w:before="0" w:after="120"/>
        <w:ind w:firstLine="480"/>
      </w:pPr>
      <w:r>
        <w:rPr>
          <w:rFonts w:ascii="Times New Roman" w:hAnsi="Times New Roman" w:cs="Times New Roman" w:eastAsia="Times New Roman"/>
          <w:b w:val="0"/>
          <w:sz w:val="24"/>
        </w:rPr>
        <w:t>Fengxian's off-campus internship resources should not be simply judged as sufficient or insufficient. Based on school, district government, and municipal policy materials from 2021 to 2026, they can be characterized as stable on-campus job cognition, gradually increasing district-level shadowing bases, initial scale of cross-agency public welfare supplementation, but structural tightness in real enterprise placements for students with intellectual disabilities, autism, and cerebral palsy.</w:t>
      </w:r>
    </w:p>
    <w:p>
      <w:pPr>
        <w:spacing w:line="360" w:lineRule="auto" w:before="0" w:after="120"/>
        <w:ind w:firstLine="480"/>
      </w:pPr>
      <w:r>
        <w:rPr>
          <w:rFonts w:ascii="Times New Roman" w:hAnsi="Times New Roman" w:cs="Times New Roman" w:eastAsia="Times New Roman"/>
          <w:b w:val="0"/>
          <w:sz w:val="24"/>
        </w:rPr>
        <w:t>On-campus job cognition bases have stable supply. In December 2021, the Xinyuan Xiaoshe practice base was established on campus, transforming job tasks into curriculum and skill practice, and undertaking multi-context social integration pre-training (Fengxian Secondary Vocational School, 2021). The advantages are safety, teacher accompaniment, and continuous IEP data. The limitations are differences from real commercial stores in customer flow, shift changes, pay management, and colleague interaction.</w:t>
      </w:r>
    </w:p>
    <w:p>
      <w:pPr>
        <w:spacing w:line="360" w:lineRule="auto" w:before="0" w:after="120"/>
        <w:ind w:firstLine="480"/>
      </w:pPr>
      <w:r>
        <w:rPr>
          <w:rFonts w:ascii="Times New Roman" w:hAnsi="Times New Roman" w:cs="Times New Roman" w:eastAsia="Times New Roman"/>
          <w:b w:val="0"/>
          <w:sz w:val="24"/>
        </w:rPr>
        <w:t>District-level off-campus shadowing bases are increasing in number but differentiated in job types. In May 2026, third-year special education students went to Xifan Agriculture, Zhai Ka Car Wash, Charity Supermarket, and Yichong Experience Center for one-week job shadowing, grouped by interest and ability, and trained by enterprise mentors in agriculture, car wash, retail charity, and pet experience (Shanghai Vocational Education Online, 2026). In the same month, charity supermarket shadowing involved clothing sorting, display, and simple coffee making (Xianchuang Public Welfare, 2026). In addition, the Qingtai project uses Zhai Ka Chexi as an off-campus integration base, combined with car wash, cashier, coffee, charity supermarket, and handicrafts. Fengpu Street also connected with Er'yan Temple vegetarian restaurants and food factories, as well as Taiwan youth baking workshops (China Youth Online, 2025). Thus, in terms of the number of off-campus sites, Fengxian is no longer limited to single-campus training, but has formed a multi-type combination of agriculture, car wash, retail, coffee, pets, vegetarian food, baking, and handicrafts. However, from the perspective of whether it can cover high-quality transition for all special education students, three tight points remain.</w:t>
      </w:r>
    </w:p>
    <w:p>
      <w:pPr>
        <w:spacing w:line="360" w:lineRule="auto" w:before="0" w:after="120"/>
        <w:ind w:firstLine="480"/>
      </w:pPr>
      <w:r>
        <w:rPr>
          <w:rFonts w:ascii="Times New Roman" w:hAnsi="Times New Roman" w:cs="Times New Roman" w:eastAsia="Times New Roman"/>
          <w:b w:val="0"/>
          <w:sz w:val="24"/>
        </w:rPr>
        <w:t>First, some jobs are overly simple and have low social load. Media investigations point out that farm soil turning and laundry bag套袋 are easy but lack customer communication, and therefore provide insufficient training for students with better abilities (Sina, 2024; China Youth Online, 2025). Second, enterprise reception scale mismatches disability types. The municipal special vocational policy requires internships of at least half a year, but students with intellectual, autistic, and cerebral palsy conditions need centralized, simple, low-risk positions, which ordinary enterprises rarely provide in bulk (Yang, 2021; Shanghai Municipal Women and Children Work Committee, 2021). Third, the exit to long-term employment remains narrow. District government materials state that about 30 percent of special education students have social job practice experience, but the actual employment proportion is lower. Reasons include limited enterprise acceptance, families weighing income against subsistence allowances, and short-term internships that are difficult to convert into full-time jobs (Fengxian District Government, 2023). Qingtai and media cases mention that long-term stable employment after graduation is in the single digits, but such statements are project experiences rather than school-wide statistics. Papers should treat them as qualitative limiting materials rather than employment rates (Sina, 2024; China Youth Online, 2025).</w:t>
      </w:r>
    </w:p>
    <w:p>
      <w:pPr>
        <w:spacing w:line="360" w:lineRule="auto" w:before="0" w:after="120"/>
        <w:ind w:firstLine="480"/>
      </w:pPr>
      <w:r>
        <w:rPr>
          <w:rFonts w:ascii="Times New Roman" w:hAnsi="Times New Roman" w:cs="Times New Roman" w:eastAsia="Times New Roman"/>
          <w:b w:val="0"/>
          <w:sz w:val="24"/>
        </w:rPr>
        <w:t>Policy and funding support has a framework, but implementation relies on district-school coordination. At the municipal level, the 2017 special vocational opinion requires at least one district-level site. The 2018 curriculum plan specifies apprenticeship and internship time. The 2024 commission reply reiterates ensuring internship and provides examples of regional school-enterprise cooperation, while revising the curriculum to strengthen employment and entrepreneurship capabilities (Shanghai Municipal Education Commission &amp; Shanghai Disabled Persons' Federation, 2017; Shanghai Municipal Education Commission, 2018, 2024). Fengxian locally coordinates among the District Education Bureau, Disabled Persons' Federation, school, and enterprises, exempting tuition, miscellaneous fees, meals, and clothing, supplemented by Jianneng public welfare practice bases, AEG funds, and social work school links (Eastday Education, 2021). However, special subsidies for enterprises receiving special students for internships were not fully confirmed in publicly available replies. The proposal by Yang Qiping calling for building district-level dedicated internship bases, providing funding subsidies to receiving enterprises, and customizing based on safety and individualization can serve as a policy direction for Fengxian's further expansion (Yang, 2021).</w:t>
      </w:r>
    </w:p>
    <w:p>
      <w:pPr>
        <w:spacing w:line="360" w:lineRule="auto" w:before="0" w:after="120"/>
        <w:ind w:firstLine="480"/>
      </w:pPr>
      <w:r>
        <w:rPr>
          <w:rFonts w:ascii="Times New Roman" w:hAnsi="Times New Roman" w:cs="Times New Roman" w:eastAsia="Times New Roman"/>
          <w:b w:val="0"/>
          <w:sz w:val="24"/>
        </w:rPr>
        <w:t>Therefore, Fengxian's off-campus internship resources can be evaluated as gradually complete in types, expandable in quantity, but uneven in depth, and should not be directly equated with a mature open employment base system.</w:t>
      </w:r>
    </w:p>
    <w:p>
      <w:pPr>
        <w:spacing w:line="360" w:lineRule="auto" w:before="240" w:after="120"/>
      </w:pPr>
      <w:r>
        <w:rPr>
          <w:rFonts w:ascii="Times New Roman" w:hAnsi="Times New Roman" w:cs="Times New Roman" w:eastAsia="Times New Roman"/>
          <w:rFonts w:ascii="Times New Roman" w:hAnsi="Times New Roman"/>
          <w:b/>
          <w:sz w:val="32"/>
        </w:rPr>
        <w:t>5 Job Coach and Continuous Employment Support</w:t>
      </w:r>
    </w:p>
    <w:p>
      <w:pPr>
        <w:spacing w:line="360" w:lineRule="auto" w:before="0" w:after="120"/>
        <w:ind w:firstLine="480"/>
      </w:pPr>
      <w:r>
        <w:rPr>
          <w:rFonts w:ascii="Times New Roman" w:hAnsi="Times New Roman" w:cs="Times New Roman" w:eastAsia="Times New Roman"/>
          <w:b w:val="0"/>
          <w:sz w:val="24"/>
        </w:rPr>
        <w:t>Continuous employment support is the core comparison item of this paper. Public materials from Fengxian do not show a routine third-party Job Coach. Off-campus coffee, housekeeping, and archive internships are mainly led by school teachers, enterprise store managers, and class teachers. Its support logic is teacher-led, enterprise-coordinated, and parent-supervised, with the advantage of continuous mastery of student disability history, IEP, and family situation. The weakness is the lack of task analysis specialization, standardized reasonable accommodations, and regular external review in enterprises.</w:t>
      </w:r>
    </w:p>
    <w:p>
      <w:pPr>
        <w:spacing w:line="360" w:lineRule="auto" w:before="0" w:after="120"/>
        <w:ind w:firstLine="480"/>
      </w:pPr>
      <w:r>
        <w:rPr>
          <w:rFonts w:ascii="Times New Roman" w:hAnsi="Times New Roman" w:cs="Times New Roman" w:eastAsia="Times New Roman"/>
          <w:b w:val="0"/>
          <w:sz w:val="24"/>
        </w:rPr>
        <w:t>The Kuala Lumpur JKM Job Coach adopts the classic six-step supported employment model: personal assessment, workplace assessment, job matching, intensive support, natural support, and follow-up (Yusop, n.d.; Asia-Pacific Development Center on Disability, n.d.). Taking a supermarket case as an example, the Job Coach first surveys commuting safety and shift patterns, arranging only day shifts. In the first week of employment, the enterprise HR provides general training, while the Coach breaks down complex instructions into single-step demonstrations. The Coach then trains the supervisor and colleagues to form natural supports, gradually reducing on-site time and retaining telephone and regular follow-up. This model can be transferred to learning disabilities, autism, and physical disabilities. JKM subsidies and the Job Coach Network reduce employer costs, but the number of nationally certified Coaches, coverage across states, and employer awareness still limit scale. Related studies also point out insufficient public and corporate awareness of Job Coach, weak long-term matching, and inadequate policy monitoring mechanisms (Yusop, n.d.).</w:t>
      </w:r>
    </w:p>
    <w:p>
      <w:pPr>
        <w:spacing w:line="360" w:lineRule="auto" w:before="0" w:after="120"/>
        <w:ind w:firstLine="480"/>
      </w:pPr>
      <w:r>
        <w:rPr>
          <w:rFonts w:ascii="Times New Roman" w:hAnsi="Times New Roman" w:cs="Times New Roman" w:eastAsia="Times New Roman"/>
          <w:b w:val="0"/>
          <w:sz w:val="24"/>
        </w:rPr>
        <w:t>Autism-specific support can also refer to corporate academies and mall projects. Yayasan Gamuda Enabling Academy evaluates adults with autism over 21, provides soft skills training, three-month training, enterprise matching, and post-employment coaching. Partner companies assign supervisors and buddies. Some cases reduce sensory and executive function conflicts through fixed processes, short breaks, and sensitivity training (Gamuda, n.d.). 1 Utama Amaze Work uses multiple mall tenants as employers, sets up sensory pods, and has Coaches reconstruct workflows. After a three-month orientation, performance determines conversion to formal employment, but public materials lack 12-month retention rates (The Star, 2026). Systematic reviews show that workplace outcomes for autism are significantly affected by training depth, sensory accommodations, direct communication, job crafting, and supervisor coordination (IAAP review, 2026). One-time interview coaching without task analysis cannot improve long-term retention.</w:t>
      </w:r>
    </w:p>
    <w:p>
      <w:pPr>
        <w:spacing w:line="360" w:lineRule="auto" w:before="240" w:after="120"/>
      </w:pPr>
      <w:r>
        <w:rPr>
          <w:rFonts w:ascii="Times New Roman" w:hAnsi="Times New Roman" w:cs="Times New Roman" w:eastAsia="Times New Roman"/>
          <w:rFonts w:ascii="Times New Roman" w:hAnsi="Times New Roman"/>
          <w:b/>
          <w:sz w:val="32"/>
        </w:rPr>
        <w:t>6 Employment Outcomes, Retention Factors, and Data Limitations</w:t>
      </w:r>
    </w:p>
    <w:p>
      <w:pPr>
        <w:spacing w:line="360" w:lineRule="auto" w:before="0" w:after="120"/>
        <w:ind w:firstLine="480"/>
      </w:pPr>
      <w:r>
        <w:rPr>
          <w:rFonts w:ascii="Times New Roman" w:hAnsi="Times New Roman" w:cs="Times New Roman" w:eastAsia="Times New Roman"/>
          <w:b w:val="0"/>
          <w:sz w:val="24"/>
        </w:rPr>
        <w:t>In Shanghai, public materials confirm that about 30 percent of Fengxian special education students have social job practice experience, but those in long-term full-time enterprise positions are fewer. Factors include family concerns about work ability, income versus subsistence allowances, lack of suitable multi-step social jobs, and internships being too mechanical, which weakens professional identity (Fengxian District Government, 2023; Sina, 2024). City-wide special vocational education faces triple constraints: difficulty in enterprise acceptance, difficulty in centralized internships, and low profit returns (Yang, 2021). Therefore, when evaluating Shanghai's outcomes, job practice coverage rather than open employment rate should be the primary indicator.</w:t>
      </w:r>
    </w:p>
    <w:p>
      <w:pPr>
        <w:spacing w:line="360" w:lineRule="auto" w:before="0" w:after="120"/>
        <w:ind w:firstLine="480"/>
      </w:pPr>
      <w:r>
        <w:rPr>
          <w:rFonts w:ascii="Times New Roman" w:hAnsi="Times New Roman" w:cs="Times New Roman" w:eastAsia="Times New Roman"/>
          <w:b w:val="0"/>
          <w:sz w:val="24"/>
        </w:rPr>
        <w:t>In Kuala Lumpur, SMPKV has SKM certification numbers but lacks long-term retention databases by branch and major. JKM Job Coach data from 2012 to 2020 claimed to have promoted employment for 1,397 disabled persons and involved 770 employers, but such aggregates do not distinguish between SMPKV, Bengkel, Wisma, or corporate academies, nor do they provide 6/12-month retention rates (Yusop, n.d.). Bengkel Daya reports work unit output and Gardenia cooperation, but this does not equate to open market retention. PLPP aimed for some graduates to be employed within six months of completion, but samples and years are limited (Borneo Post, 2011). Thus, Kuala Lumpur outcomes should be evaluated in three tiers: SKM or certificate acquisition rate, sheltered workshop on-site rate, and open employment retention rate, which must not be interchanged.</w:t>
      </w:r>
    </w:p>
    <w:p>
      <w:pPr>
        <w:spacing w:line="360" w:lineRule="auto" w:before="0" w:after="120"/>
        <w:ind w:firstLine="480"/>
      </w:pPr>
      <w:r>
        <w:rPr>
          <w:rFonts w:ascii="Times New Roman" w:hAnsi="Times New Roman" w:cs="Times New Roman" w:eastAsia="Times New Roman"/>
          <w:b w:val="0"/>
          <w:sz w:val="24"/>
        </w:rPr>
        <w:t>International evidence explains these differences. Long-term retention for intellectual disabilities is significantly influenced by continuous workplace support, reasonable accommodations, employer involvement, and person-centered career planning. Merely introducing jobs without post-placement follow-up is ineffective (Al-Kindi, 2026). Workplace support systematic reviews indicate that supervisor attitudes, colleague interactions, Job Coach responsiveness, and corporate training are key environmental variables for competitive employment maintenance (Carlson et al., 2020; van der Meulen et al., 2015). Combining evidence from both places shows that without on-site task analysis, external Coach, reasonable accommodations, and retention database, sustained employment remains unstable regardless of location.</w:t>
      </w:r>
    </w:p>
    <w:p>
      <w:pPr>
        <w:spacing w:line="360" w:lineRule="auto" w:before="240" w:after="120"/>
      </w:pPr>
      <w:r>
        <w:rPr>
          <w:rFonts w:ascii="Times New Roman" w:hAnsi="Times New Roman" w:cs="Times New Roman" w:eastAsia="Times New Roman"/>
          <w:rFonts w:ascii="Times New Roman" w:hAnsi="Times New Roman"/>
          <w:b/>
          <w:sz w:val="32"/>
        </w:rPr>
        <w:t>7 Comprehensive Comparison and Model Summary</w:t>
      </w:r>
    </w:p>
    <w:p>
      <w:pPr>
        <w:spacing w:line="360" w:lineRule="auto" w:before="200" w:after="80"/>
      </w:pPr>
      <w:r>
        <w:rPr>
          <w:rFonts w:ascii="Times New Roman" w:hAnsi="Times New Roman"/>
          <w:b/>
          <w:sz w:val="24"/>
        </w:rPr>
        <w:t>Table 1. Comparison of Special Vocational Education and Employment Transition Systems Between Shanghai Fengxian and Kuala Lumpur Metropolitan Area</w:t>
      </w:r>
    </w:p>
    <w:tbl>
      <w:tblPr>
        <w:tblStyle w:val="TableGrid"/>
        <w:tblW w:type="auto" w:w="0"/>
        <w:tblLook w:firstColumn="1" w:firstRow="1" w:lastColumn="0" w:lastRow="0" w:noHBand="0" w:noVBand="1" w:val="04A0"/>
      </w:tblPr>
      <w:tblGrid>
        <w:gridCol w:w="2256"/>
        <w:gridCol w:w="2256"/>
        <w:gridCol w:w="2256"/>
        <w:gridCol w:w="2256"/>
      </w:tblGrid>
      <w:tr>
        <w:tc>
          <w:tcPr>
            <w:tcW w:type="dxa" w:w="2256"/>
          </w:tcPr>
          <w:p>
            <w:r/>
            <w:r>
              <w:rPr>
                <w:rFonts w:ascii="Times New Roman" w:hAnsi="Times New Roman"/>
                <w:b/>
                <w:sz w:val="22"/>
              </w:rPr>
              <w:t>Dimension</w:t>
            </w:r>
          </w:p>
        </w:tc>
        <w:tc>
          <w:tcPr>
            <w:tcW w:type="dxa" w:w="2256"/>
          </w:tcPr>
          <w:p>
            <w:r/>
            <w:r>
              <w:rPr>
                <w:rFonts w:ascii="Times New Roman" w:hAnsi="Times New Roman"/>
                <w:b/>
                <w:sz w:val="22"/>
              </w:rPr>
              <w:t>Shanghai Fengxian</w:t>
            </w:r>
          </w:p>
        </w:tc>
        <w:tc>
          <w:tcPr>
            <w:tcW w:type="dxa" w:w="2256"/>
          </w:tcPr>
          <w:p>
            <w:r/>
            <w:r>
              <w:rPr>
                <w:rFonts w:ascii="Times New Roman" w:hAnsi="Times New Roman"/>
                <w:b/>
                <w:sz w:val="22"/>
              </w:rPr>
              <w:t>Kuala Lumpur Metropolitan Area</w:t>
            </w:r>
          </w:p>
        </w:tc>
        <w:tc>
          <w:tcPr>
            <w:tcW w:type="dxa" w:w="2256"/>
          </w:tcPr>
          <w:p>
            <w:r/>
            <w:r>
              <w:rPr>
                <w:rFonts w:ascii="Times New Roman" w:hAnsi="Times New Roman"/>
                <w:b/>
                <w:sz w:val="22"/>
              </w:rPr>
              <w:t>Common Key to Retention</w:t>
            </w:r>
          </w:p>
        </w:tc>
      </w:tr>
      <w:tr>
        <w:tc>
          <w:tcPr>
            <w:tcW w:type="dxa" w:w="2256"/>
          </w:tcPr>
          <w:p>
            <w:r/>
            <w:r>
              <w:rPr>
                <w:rFonts w:ascii="Times New Roman" w:hAnsi="Times New Roman"/>
                <w:sz w:val="22"/>
              </w:rPr>
              <w:t>Individual</w:t>
            </w:r>
          </w:p>
        </w:tc>
        <w:tc>
          <w:tcPr>
            <w:tcW w:type="dxa" w:w="2256"/>
          </w:tcPr>
          <w:p>
            <w:r/>
            <w:r>
              <w:rPr>
                <w:rFonts w:ascii="Times New Roman" w:hAnsi="Times New Roman"/>
                <w:sz w:val="22"/>
              </w:rPr>
              <w:t>Strong in single-step cooking and coffee; soft skills enhanced through role externalization</w:t>
            </w:r>
          </w:p>
        </w:tc>
        <w:tc>
          <w:tcPr>
            <w:tcW w:type="dxa" w:w="2256"/>
          </w:tcPr>
          <w:p>
            <w:r/>
            <w:r>
              <w:rPr>
                <w:rFonts w:ascii="Times New Roman" w:hAnsi="Times New Roman"/>
                <w:sz w:val="22"/>
              </w:rPr>
              <w:t>SMPKV offers SKM; Wisma focuses on ASD, Down syndrome, and learning disabilities; Bengkel targets moderate to severe disabilities</w:t>
            </w:r>
          </w:p>
        </w:tc>
        <w:tc>
          <w:tcPr>
            <w:tcW w:type="dxa" w:w="2256"/>
          </w:tcPr>
          <w:p>
            <w:r/>
            <w:r>
              <w:rPr>
                <w:rFonts w:ascii="Times New Roman" w:hAnsi="Times New Roman"/>
                <w:sz w:val="22"/>
              </w:rPr>
              <w:t>Task analysis and soft skill assessment rather than crude diagnosis</w:t>
            </w:r>
          </w:p>
        </w:tc>
      </w:tr>
      <w:tr>
        <w:tc>
          <w:tcPr>
            <w:tcW w:type="dxa" w:w="2256"/>
          </w:tcPr>
          <w:p>
            <w:r/>
            <w:r>
              <w:rPr>
                <w:rFonts w:ascii="Times New Roman" w:hAnsi="Times New Roman"/>
                <w:sz w:val="22"/>
              </w:rPr>
              <w:t>Family</w:t>
            </w:r>
          </w:p>
        </w:tc>
        <w:tc>
          <w:tcPr>
            <w:tcW w:type="dxa" w:w="2256"/>
          </w:tcPr>
          <w:p>
            <w:r/>
            <w:r>
              <w:rPr>
                <w:rFonts w:ascii="Times New Roman" w:hAnsi="Times New Roman"/>
                <w:sz w:val="22"/>
              </w:rPr>
              <w:t>Weighs subsistence allowances and income; fears social setbacks</w:t>
            </w:r>
          </w:p>
        </w:tc>
        <w:tc>
          <w:tcPr>
            <w:tcW w:type="dxa" w:w="2256"/>
          </w:tcPr>
          <w:p>
            <w:r/>
            <w:r>
              <w:rPr>
                <w:rFonts w:ascii="Times New Roman" w:hAnsi="Times New Roman"/>
                <w:sz w:val="22"/>
              </w:rPr>
              <w:t>JKM registration and allowance-job conflicts also exist</w:t>
            </w:r>
          </w:p>
        </w:tc>
        <w:tc>
          <w:tcPr>
            <w:tcW w:type="dxa" w:w="2256"/>
          </w:tcPr>
          <w:p>
            <w:r/>
            <w:r>
              <w:rPr>
                <w:rFonts w:ascii="Times New Roman" w:hAnsi="Times New Roman"/>
                <w:sz w:val="22"/>
              </w:rPr>
              <w:t>Pre-calculate commuting, net income, and safety</w:t>
            </w:r>
          </w:p>
        </w:tc>
      </w:tr>
      <w:tr>
        <w:tc>
          <w:tcPr>
            <w:tcW w:type="dxa" w:w="2256"/>
          </w:tcPr>
          <w:p>
            <w:r/>
            <w:r>
              <w:rPr>
                <w:rFonts w:ascii="Times New Roman" w:hAnsi="Times New Roman"/>
                <w:sz w:val="22"/>
              </w:rPr>
              <w:t>School Curriculum</w:t>
            </w:r>
          </w:p>
        </w:tc>
        <w:tc>
          <w:tcPr>
            <w:tcW w:type="dxa" w:w="2256"/>
          </w:tcPr>
          <w:p>
            <w:r/>
            <w:r>
              <w:rPr>
                <w:rFonts w:ascii="Times New Roman" w:hAnsi="Times New Roman"/>
                <w:sz w:val="22"/>
              </w:rPr>
              <w:t>Four-year culinary arts plus Xinyuan Xiaoshe; lacks unified skill levels</w:t>
            </w:r>
          </w:p>
        </w:tc>
        <w:tc>
          <w:tcPr>
            <w:tcW w:type="dxa" w:w="2256"/>
          </w:tcPr>
          <w:p>
            <w:r/>
            <w:r>
              <w:rPr>
                <w:rFonts w:ascii="Times New Roman" w:hAnsi="Times New Roman"/>
                <w:sz w:val="22"/>
              </w:rPr>
              <w:t>SMPKV and JPK more standardized; PPKI micro-credentials still rolling out</w:t>
            </w:r>
          </w:p>
        </w:tc>
        <w:tc>
          <w:tcPr>
            <w:tcW w:type="dxa" w:w="2256"/>
          </w:tcPr>
          <w:p>
            <w:r/>
            <w:r>
              <w:rPr>
                <w:rFonts w:ascii="Times New Roman" w:hAnsi="Times New Roman"/>
                <w:sz w:val="22"/>
              </w:rPr>
              <w:t>Certificates and real community internships at least one to two years before graduation</w:t>
            </w:r>
          </w:p>
        </w:tc>
      </w:tr>
      <w:tr>
        <w:tc>
          <w:tcPr>
            <w:tcW w:type="dxa" w:w="2256"/>
          </w:tcPr>
          <w:p>
            <w:r/>
            <w:r>
              <w:rPr>
                <w:rFonts w:ascii="Times New Roman" w:hAnsi="Times New Roman"/>
                <w:sz w:val="22"/>
              </w:rPr>
              <w:t>Internship Transition</w:t>
            </w:r>
          </w:p>
        </w:tc>
        <w:tc>
          <w:tcPr>
            <w:tcW w:type="dxa" w:w="2256"/>
          </w:tcPr>
          <w:p>
            <w:r/>
            <w:r>
              <w:rPr>
                <w:rFonts w:ascii="Times New Roman" w:hAnsi="Times New Roman"/>
                <w:sz w:val="22"/>
              </w:rPr>
              <w:t>Zhai Ka, charity supermarket, and agriculture; small quantity and uneven depth</w:t>
            </w:r>
          </w:p>
        </w:tc>
        <w:tc>
          <w:tcPr>
            <w:tcW w:type="dxa" w:w="2256"/>
          </w:tcPr>
          <w:p>
            <w:r/>
            <w:r>
              <w:rPr>
                <w:rFonts w:ascii="Times New Roman" w:hAnsi="Times New Roman"/>
                <w:sz w:val="22"/>
              </w:rPr>
              <w:t>PTK, Job Coach, and PLPP accessible, but school-JKM data are disconnected</w:t>
            </w:r>
          </w:p>
        </w:tc>
        <w:tc>
          <w:tcPr>
            <w:tcW w:type="dxa" w:w="2256"/>
          </w:tcPr>
          <w:p>
            <w:r/>
            <w:r>
              <w:rPr>
                <w:rFonts w:ascii="Times New Roman" w:hAnsi="Times New Roman"/>
                <w:sz w:val="22"/>
              </w:rPr>
              <w:t>Individual transition plan and enterprise job bank</w:t>
            </w:r>
          </w:p>
        </w:tc>
      </w:tr>
      <w:tr>
        <w:tc>
          <w:tcPr>
            <w:tcW w:type="dxa" w:w="2256"/>
          </w:tcPr>
          <w:p>
            <w:r/>
            <w:r>
              <w:rPr>
                <w:rFonts w:ascii="Times New Roman" w:hAnsi="Times New Roman"/>
                <w:sz w:val="22"/>
              </w:rPr>
              <w:t>Job Coach</w:t>
            </w:r>
          </w:p>
        </w:tc>
        <w:tc>
          <w:tcPr>
            <w:tcW w:type="dxa" w:w="2256"/>
          </w:tcPr>
          <w:p>
            <w:r/>
            <w:r>
              <w:rPr>
                <w:rFonts w:ascii="Times New Roman" w:hAnsi="Times New Roman"/>
                <w:sz w:val="22"/>
              </w:rPr>
              <w:t>School teachers and store managers act as coaches; lacks third-party</w:t>
            </w:r>
          </w:p>
        </w:tc>
        <w:tc>
          <w:tcPr>
            <w:tcW w:type="dxa" w:w="2256"/>
          </w:tcPr>
          <w:p>
            <w:r/>
            <w:r>
              <w:rPr>
                <w:rFonts w:ascii="Times New Roman" w:hAnsi="Times New Roman"/>
                <w:sz w:val="22"/>
              </w:rPr>
              <w:t>JKM has functions, but few NOSS certified and low private sector awareness</w:t>
            </w:r>
          </w:p>
        </w:tc>
        <w:tc>
          <w:tcPr>
            <w:tcW w:type="dxa" w:w="2256"/>
          </w:tcPr>
          <w:p>
            <w:r/>
            <w:r>
              <w:rPr>
                <w:rFonts w:ascii="Times New Roman" w:hAnsi="Times New Roman"/>
                <w:sz w:val="22"/>
              </w:rPr>
              <w:t>Tracking at six and twelve months after employment; gradual fade-out</w:t>
            </w:r>
          </w:p>
        </w:tc>
      </w:tr>
      <w:tr>
        <w:tc>
          <w:tcPr>
            <w:tcW w:type="dxa" w:w="2256"/>
          </w:tcPr>
          <w:p>
            <w:r/>
            <w:r>
              <w:rPr>
                <w:rFonts w:ascii="Times New Roman" w:hAnsi="Times New Roman"/>
                <w:sz w:val="22"/>
              </w:rPr>
              <w:t>Enterprise Environment</w:t>
            </w:r>
          </w:p>
        </w:tc>
        <w:tc>
          <w:tcPr>
            <w:tcW w:type="dxa" w:w="2256"/>
          </w:tcPr>
          <w:p>
            <w:r/>
            <w:r>
              <w:rPr>
                <w:rFonts w:ascii="Times New Roman" w:hAnsi="Times New Roman"/>
                <w:sz w:val="22"/>
              </w:rPr>
              <w:t>Mainly caring enterprises; reasonable accommodations not standardized</w:t>
            </w:r>
          </w:p>
        </w:tc>
        <w:tc>
          <w:tcPr>
            <w:tcW w:type="dxa" w:w="2256"/>
          </w:tcPr>
          <w:p>
            <w:r/>
            <w:r>
              <w:rPr>
                <w:rFonts w:ascii="Times New Roman" w:hAnsi="Times New Roman"/>
                <w:sz w:val="22"/>
              </w:rPr>
              <w:t>Large malls, supermarkets, and Uniqlo have pilots; most SMEs lack Coach</w:t>
            </w:r>
          </w:p>
        </w:tc>
        <w:tc>
          <w:tcPr>
            <w:tcW w:type="dxa" w:w="2256"/>
          </w:tcPr>
          <w:p>
            <w:r/>
            <w:r>
              <w:rPr>
                <w:rFonts w:ascii="Times New Roman" w:hAnsi="Times New Roman"/>
                <w:sz w:val="22"/>
              </w:rPr>
              <w:t>Visual tasks, sensory adjustments, and supervisor natural support</w:t>
            </w:r>
          </w:p>
        </w:tc>
      </w:tr>
      <w:tr>
        <w:tc>
          <w:tcPr>
            <w:tcW w:type="dxa" w:w="2256"/>
          </w:tcPr>
          <w:p>
            <w:r/>
            <w:r>
              <w:rPr>
                <w:rFonts w:ascii="Times New Roman" w:hAnsi="Times New Roman"/>
                <w:sz w:val="22"/>
              </w:rPr>
              <w:t>Policy Data</w:t>
            </w:r>
          </w:p>
        </w:tc>
        <w:tc>
          <w:tcPr>
            <w:tcW w:type="dxa" w:w="2256"/>
          </w:tcPr>
          <w:p>
            <w:r/>
            <w:r>
              <w:rPr>
                <w:rFonts w:ascii="Times New Roman" w:hAnsi="Times New Roman"/>
                <w:sz w:val="22"/>
              </w:rPr>
              <w:t>District Disabled Federation and special education; no retention database</w:t>
            </w:r>
          </w:p>
        </w:tc>
        <w:tc>
          <w:tcPr>
            <w:tcW w:type="dxa" w:w="2256"/>
          </w:tcPr>
          <w:p>
            <w:r/>
            <w:r>
              <w:rPr>
                <w:rFonts w:ascii="Times New Roman" w:hAnsi="Times New Roman"/>
                <w:sz w:val="22"/>
              </w:rPr>
              <w:t>SPOKU, JKM, SPM, and SKM are scattered; retention incomplete</w:t>
            </w:r>
          </w:p>
        </w:tc>
        <w:tc>
          <w:tcPr>
            <w:tcW w:type="dxa" w:w="2256"/>
          </w:tcPr>
          <w:p>
            <w:r/>
            <w:r>
              <w:rPr>
                <w:rFonts w:ascii="Times New Roman" w:hAnsi="Times New Roman"/>
                <w:sz w:val="22"/>
              </w:rPr>
              <w:t>Build graduation-job-retention-retraining closed loop</w:t>
            </w:r>
          </w:p>
        </w:tc>
      </w:tr>
    </w:tbl>
    <w:p>
      <w:pPr>
        <w:spacing w:line="360" w:lineRule="auto" w:before="0" w:after="120"/>
        <w:ind w:firstLine="480"/>
      </w:pPr>
      <w:r>
        <w:rPr>
          <w:rFonts w:ascii="Times New Roman" w:hAnsi="Times New Roman" w:cs="Times New Roman" w:eastAsia="Times New Roman"/>
          <w:b w:val="0"/>
          <w:sz w:val="24"/>
        </w:rPr>
        <w:t>The Shanghai Fengxian model is characterized by unified policy, standardized IEP, four-year culinary arts, and coffee, pastry, and housekeeping expansion. Its strengths lie in educational equity and IEP continuity. Its weaknesses lie in external employment services and long-term retention tracking. It is suitable as a school-led sample for regions without multi-sector disability employment systems.</w:t>
      </w:r>
    </w:p>
    <w:p>
      <w:pPr>
        <w:spacing w:line="360" w:lineRule="auto" w:before="0" w:after="120"/>
        <w:ind w:firstLine="480"/>
      </w:pPr>
      <w:r>
        <w:rPr>
          <w:rFonts w:ascii="Times New Roman" w:hAnsi="Times New Roman" w:cs="Times New Roman" w:eastAsia="Times New Roman"/>
          <w:b w:val="0"/>
          <w:sz w:val="24"/>
        </w:rPr>
        <w:t>The Kuala Lumpur metropolitan area model is characterized by SMPKV multi-trade SKM, Wisma for ASD and learning disabilities preparation, Bengkel for sheltered production, PLPP for physical disability skills, and JKM Job Coach for open employment continuous support. Its strengths lie in job matching, reasonable accommodations, and professional supported employment. Its weaknesses lie in cross-institution data integration and outcome transparency. It is suitable as a multi-sector support sample for regions with existing TVET and welfare administration.</w:t>
      </w:r>
    </w:p>
    <w:p>
      <w:pPr>
        <w:spacing w:line="360" w:lineRule="auto" w:before="0" w:after="120"/>
        <w:ind w:firstLine="480"/>
      </w:pPr>
      <w:r>
        <w:rPr>
          <w:rFonts w:ascii="Times New Roman" w:hAnsi="Times New Roman" w:cs="Times New Roman" w:eastAsia="Times New Roman"/>
          <w:b w:val="0"/>
          <w:sz w:val="24"/>
        </w:rPr>
        <w:t>The implications for Brunei and similar small, high-income cities are not to copy one city, but to extract the common closed loop: vocational assessment upon enrollment; at least two types of real job internships during the secondary vocational stage; skill qualification through micro-credentials or national skill levels; Job Coach intervention three to six months before graduation; re-evaluation at one, three, six, and twelve months after employment; determine support intensity based on task analysis rather than diagnostic labels; and establish three statistical categories of sheltered, transitional, and open employment.</w:t>
      </w:r>
    </w:p>
    <w:p>
      <w:pPr>
        <w:spacing w:line="360" w:lineRule="auto" w:before="240" w:after="120"/>
      </w:pPr>
      <w:r>
        <w:rPr>
          <w:rFonts w:ascii="Times New Roman" w:hAnsi="Times New Roman" w:cs="Times New Roman" w:eastAsia="Times New Roman"/>
          <w:rFonts w:ascii="Times New Roman" w:hAnsi="Times New Roman"/>
          <w:b/>
          <w:sz w:val="32"/>
        </w:rPr>
        <w:t>8 Conclusion</w:t>
      </w:r>
    </w:p>
    <w:p>
      <w:pPr>
        <w:spacing w:line="360" w:lineRule="auto" w:before="0" w:after="120"/>
        <w:ind w:firstLine="480"/>
      </w:pPr>
      <w:r>
        <w:rPr>
          <w:rFonts w:ascii="Times New Roman" w:hAnsi="Times New Roman" w:cs="Times New Roman" w:eastAsia="Times New Roman"/>
          <w:b w:val="0"/>
          <w:sz w:val="24"/>
        </w:rPr>
        <w:t>Shanghai and the Kuala Lumpur metropolitan area adopt different institutional combinations in special vocational education and employment transition. Shanghai centers on district-level special vocational schools, unified curriculum plans, and on-campus training, strong in fair access and IEP continuity, but weak in external employment services and long-term retention tracking. The Kuala Lumpur metropolitan area centers on SMPKV skill certification, JKM Job Coach, sheltered workshops, and NGO vocational preparation, strong in job matching, reasonable accommodations, and supported employment specialization, but weak in cross-agency data integration and outcome transparency. Future special vocational education policies should avoid a single employment rate indicator and instead establish a comprehensive evaluation of internship coverage, certificate acquisition, job matching, six and twelve-month retention, and reasonable accommodation costs. For academic research, the Shanghai sample can supplement qualitative tracking of enterprise internship barriers, while the Kuala Lumpur sample can supplement SMPKV and Job Coach retention databases by disability type. The two mutually inform each other, jointly supporting the shift of special vocational education in East and Southeast Asia from trainable to sustainably employable.</w:t>
      </w:r>
    </w:p>
    <w:p>
      <w:pPr>
        <w:spacing w:line="360" w:lineRule="auto" w:before="240" w:after="120"/>
      </w:pPr>
      <w:r>
        <w:rPr>
          <w:rFonts w:ascii="Times New Roman" w:hAnsi="Times New Roman" w:cs="Times New Roman" w:eastAsia="Times New Roman"/>
          <w:rFonts w:ascii="Times New Roman" w:hAnsi="Times New Roman"/>
          <w:b/>
          <w:sz w:val="32"/>
        </w:rPr>
        <w:t>References</w:t>
      </w:r>
    </w:p>
    <w:p>
      <w:pPr>
        <w:spacing w:line="360" w:lineRule="auto" w:after="60"/>
      </w:pPr>
      <w:r>
        <w:rPr>
          <w:rFonts w:ascii="Times New Roman" w:hAnsi="Times New Roman"/>
          <w:sz w:val="24"/>
        </w:rPr>
        <w:t>Al-Kindi, R. (2026). The effectiveness of workplace support interventions in increasing long-term employment retention among adults with intellectual disabilities: A quantitative meta-analysis. British Journal of Nursing Sciences, 9(3), Article 12898. https://al-kindipublisher.com/index.php/bjns/article/view/12898</w:t>
      </w:r>
    </w:p>
    <w:p>
      <w:pPr>
        <w:spacing w:line="360" w:lineRule="auto" w:after="60"/>
      </w:pPr>
      <w:r>
        <w:rPr>
          <w:rFonts w:ascii="Times New Roman" w:hAnsi="Times New Roman"/>
          <w:sz w:val="24"/>
        </w:rPr>
        <w:t>Asia-Pacific Development Center on Disability. (n.d.). Introduction to Job Coach: Promotes sustainable employment of persons with disabilities. https://apcdfoundation.org/sites/default/files/2023-07/1.%20Introduction_to_Job_Coach_English.pdf</w:t>
      </w:r>
    </w:p>
    <w:p>
      <w:pPr>
        <w:spacing w:line="360" w:lineRule="auto" w:after="60"/>
      </w:pPr>
      <w:r>
        <w:rPr>
          <w:rFonts w:ascii="Times New Roman" w:hAnsi="Times New Roman"/>
          <w:sz w:val="24"/>
        </w:rPr>
        <w:t>Bernama. (2024, January 16). KPWKM to collaborate with Gardenia KL to empower Bengkel Daya programme. https://www.bernama.com/en/news.php?id=2262939</w:t>
      </w:r>
    </w:p>
    <w:p>
      <w:pPr>
        <w:spacing w:line="360" w:lineRule="auto" w:after="60"/>
      </w:pPr>
      <w:r>
        <w:rPr>
          <w:rFonts w:ascii="Times New Roman" w:hAnsi="Times New Roman"/>
          <w:sz w:val="24"/>
        </w:rPr>
        <w:t>Borneo Post. (2011, December 3). Industrial training and rehabilitation for the disabled. https://www.theborneopost.com/?p=170679</w:t>
      </w:r>
    </w:p>
    <w:p>
      <w:pPr>
        <w:spacing w:line="360" w:lineRule="auto" w:after="60"/>
      </w:pPr>
      <w:r>
        <w:rPr>
          <w:rFonts w:ascii="Times New Roman" w:hAnsi="Times New Roman"/>
          <w:sz w:val="24"/>
        </w:rPr>
        <w:t>Carlson, S. R., Morningstar, M. E., &amp; Munandar, V. (2020). Workplace supports for employees with intellectual disability: A systematic review of the intervention literature. Journal of Vocational Rehabilitation, 52(3), 251-265. https://doi.org/10.3233/JVR-201075</w:t>
      </w:r>
    </w:p>
    <w:p>
      <w:pPr>
        <w:spacing w:line="360" w:lineRule="auto" w:after="60"/>
      </w:pPr>
      <w:r>
        <w:rPr>
          <w:rFonts w:ascii="Times New Roman" w:hAnsi="Times New Roman"/>
          <w:sz w:val="24"/>
        </w:rPr>
        <w:t>China Youth Online. (2025, September 13). Special youth employment: Behind them are guardians [Qingtai project, Fengxian]. https://m.cyol.com/gb/articles/2025-09/13/content_jpPja4cwoL.html</w:t>
      </w:r>
    </w:p>
    <w:p>
      <w:pPr>
        <w:spacing w:line="360" w:lineRule="auto" w:after="60"/>
      </w:pPr>
      <w:r>
        <w:rPr>
          <w:rFonts w:ascii="Times New Roman" w:hAnsi="Times New Roman"/>
          <w:sz w:val="24"/>
        </w:rPr>
        <w:t>Eastday Education. (2021, March 12). Fengxian strengthens special secondary vocational class construction to serve sustainable development of special students. Eastday. https://edu.eastday.com/node2/jypd/n5/20210312/u1ai37879.html</w:t>
      </w:r>
    </w:p>
    <w:p>
      <w:pPr>
        <w:spacing w:line="360" w:lineRule="auto" w:after="60"/>
      </w:pPr>
      <w:r>
        <w:rPr>
          <w:rFonts w:ascii="Times New Roman" w:hAnsi="Times New Roman"/>
          <w:sz w:val="24"/>
        </w:rPr>
        <w:t>Fengxian District Government. (2023, June 7). On-campus Xinyuan Xiaoshe coffee and whether it can help them access ordinary life. https://www.fengxian.gov.cn/gzms/20230607/44579.html</w:t>
      </w:r>
    </w:p>
    <w:p>
      <w:pPr>
        <w:spacing w:line="360" w:lineRule="auto" w:after="60"/>
      </w:pPr>
      <w:r>
        <w:rPr>
          <w:rFonts w:ascii="Times New Roman" w:hAnsi="Times New Roman"/>
          <w:sz w:val="24"/>
        </w:rPr>
        <w:t>Fengxian Secondary Vocational School. (2021, December 10). School establishes job cognition practice base Xinyuan Xiaoshe for special education secondary vocational students. https://www.fxzz.sh.cn/contents/10/486.html</w:t>
      </w:r>
    </w:p>
    <w:p>
      <w:pPr>
        <w:spacing w:line="360" w:lineRule="auto" w:after="60"/>
      </w:pPr>
      <w:r>
        <w:rPr>
          <w:rFonts w:ascii="Times New Roman" w:hAnsi="Times New Roman"/>
          <w:sz w:val="24"/>
        </w:rPr>
        <w:t>Fengxian Secondary Vocational School. (2026a, March 11). Special education students promote lifelong learning development: Overpass project new semester meeting. https://www.fxzz.sh.cn/contents/10/1948.html</w:t>
      </w:r>
    </w:p>
    <w:p>
      <w:pPr>
        <w:spacing w:line="360" w:lineRule="auto" w:after="60"/>
      </w:pPr>
      <w:r>
        <w:rPr>
          <w:rFonts w:ascii="Times New Roman" w:hAnsi="Times New Roman"/>
          <w:sz w:val="24"/>
        </w:rPr>
        <w:t>Fengxian Secondary Vocational School. (2026b, May 27). Career experience for ninth-grade Huimin School students at Fengxian secondary vocational school. https://www.fxzz.sh.cn/contents/223/1963.html</w:t>
      </w:r>
    </w:p>
    <w:p>
      <w:pPr>
        <w:spacing w:line="360" w:lineRule="auto" w:after="60"/>
      </w:pPr>
      <w:r>
        <w:rPr>
          <w:rFonts w:ascii="Times New Roman" w:hAnsi="Times New Roman"/>
          <w:sz w:val="24"/>
        </w:rPr>
        <w:t>Gamuda. (n.d.). Enabling Academy: Employment Transition Programme [Brochure]. https://gamuda.com/wp-content/uploads/2022/04/Employment-Transition-Programme_Chinese.pdf</w:t>
      </w:r>
    </w:p>
    <w:p>
      <w:pPr>
        <w:spacing w:line="360" w:lineRule="auto" w:after="60"/>
      </w:pPr>
      <w:r>
        <w:rPr>
          <w:rFonts w:ascii="Times New Roman" w:hAnsi="Times New Roman"/>
          <w:sz w:val="24"/>
        </w:rPr>
        <w:t>International Journal of Creative Writing and English Literature. (2021). Career transition programme for student with learning disabilities: In excellent teachers' own words. IJCWED, 1(2), 1-20. https://ijcwed.com/wp-content/uploads/2021/06/IJCWED12-201.pdf</w:t>
      </w:r>
    </w:p>
    <w:p>
      <w:pPr>
        <w:spacing w:line="360" w:lineRule="auto" w:after="60"/>
      </w:pPr>
      <w:r>
        <w:rPr>
          <w:rFonts w:ascii="Times New Roman" w:hAnsi="Times New Roman"/>
          <w:sz w:val="24"/>
        </w:rPr>
        <w:t>Jabatan Kebajikan Masyarakat. (n.d.). Job Coach. MyGOV Malaysia. https://www.mygovernmen.com/mygov-jkm</w:t>
      </w:r>
    </w:p>
    <w:p>
      <w:pPr>
        <w:spacing w:line="360" w:lineRule="auto" w:after="60"/>
      </w:pPr>
      <w:r>
        <w:rPr>
          <w:rFonts w:ascii="Times New Roman" w:hAnsi="Times New Roman"/>
          <w:sz w:val="24"/>
        </w:rPr>
        <w:t>Malaysia Ministry of Education. (2017). Malaysia education blueprint annual report 2017. https://www.moe.gov.my/storage/files/shares/Dasar/PPPM/MEB%20Annual%20Report%202017.pdf</w:t>
      </w:r>
    </w:p>
    <w:p>
      <w:pPr>
        <w:spacing w:line="360" w:lineRule="auto" w:after="60"/>
      </w:pPr>
      <w:r>
        <w:rPr>
          <w:rFonts w:ascii="Times New Roman" w:hAnsi="Times New Roman"/>
          <w:sz w:val="24"/>
        </w:rPr>
        <w:t>MIND/SAMH. (n.d.-a). SARC/Wisma Harapan School, sheltered workshop and vocational training centre. https://mind.org.my?p=1055</w:t>
      </w:r>
    </w:p>
    <w:p>
      <w:pPr>
        <w:spacing w:line="360" w:lineRule="auto" w:after="60"/>
      </w:pPr>
      <w:r>
        <w:rPr>
          <w:rFonts w:ascii="Times New Roman" w:hAnsi="Times New Roman"/>
          <w:sz w:val="24"/>
        </w:rPr>
        <w:t>MIND/SAMH. (n.d.-b). Pre-employment: Bengkel Daya Klang. https://mind.org.my/employment</w:t>
      </w:r>
    </w:p>
    <w:p>
      <w:pPr>
        <w:spacing w:line="360" w:lineRule="auto" w:after="60"/>
      </w:pPr>
      <w:r>
        <w:rPr>
          <w:rFonts w:ascii="Times New Roman" w:hAnsi="Times New Roman"/>
          <w:sz w:val="24"/>
        </w:rPr>
        <w:t>Shanghai Municipal Education Commission. (2018). Shanghai special secondary vocational education school (class) curriculum plan (trial). Shanghai Special Education Online. https://spe.hpe.cn/P/C/354011.htm</w:t>
      </w:r>
    </w:p>
    <w:p>
      <w:pPr>
        <w:spacing w:line="360" w:lineRule="auto" w:after="60"/>
      </w:pPr>
      <w:r>
        <w:rPr>
          <w:rFonts w:ascii="Times New Roman" w:hAnsi="Times New Roman"/>
          <w:sz w:val="24"/>
        </w:rPr>
        <w:t>Shanghai Municipal Education Commission. (2024, September 12). Reply to Proposal No. 0001 of the 14th Municipal Committee of the Chinese People's Political Consultative Conference. https://edu.sh.gov.cn/xxgk2_zhzw_jyta_02/20240912/d88eb16b585b4fe2a89b7d4feb7d337d.html</w:t>
      </w:r>
    </w:p>
    <w:p>
      <w:pPr>
        <w:spacing w:line="360" w:lineRule="auto" w:after="60"/>
      </w:pPr>
      <w:r>
        <w:rPr>
          <w:rFonts w:ascii="Times New Roman" w:hAnsi="Times New Roman"/>
          <w:sz w:val="24"/>
        </w:rPr>
        <w:t>Shanghai Municipal Education Commission &amp; Shanghai Disabled Persons' Federation. (2017). Implementation opinions on strengthening special vocational education management (Hu Jiao Wei Ji [2017] No. 11). Shanghai Special Education Information Service Platform. https://i-shtj.shec.edu.cn/shsedu/news/content/4547</w:t>
      </w:r>
    </w:p>
    <w:p>
      <w:pPr>
        <w:spacing w:line="360" w:lineRule="auto" w:after="60"/>
      </w:pPr>
      <w:r>
        <w:rPr>
          <w:rFonts w:ascii="Times New Roman" w:hAnsi="Times New Roman"/>
          <w:sz w:val="24"/>
        </w:rPr>
        <w:t>Shanghai Municipal Women and Children Work Committee. (2021, January 27). The internship dilemma of special children. https://fegw.sh.gov.cn/type3/20210127/c620bd884fec49fd8a104d15ce6433ac.html</w:t>
      </w:r>
    </w:p>
    <w:p>
      <w:pPr>
        <w:spacing w:line="360" w:lineRule="auto" w:after="60"/>
      </w:pPr>
      <w:r>
        <w:rPr>
          <w:rFonts w:ascii="Times New Roman" w:hAnsi="Times New Roman"/>
          <w:sz w:val="24"/>
        </w:rPr>
        <w:t>Shanghai Vocational Education Online. (2026, June 1). Fengxian secondary vocational school: Special education students job-shadowing at agricultural, car-wash, charity supermarket and pet-experience bases. https://www.shedu.net.cn/shedu_new/data/shouye/202661151131_114.html</w:t>
      </w:r>
    </w:p>
    <w:p>
      <w:pPr>
        <w:spacing w:line="360" w:lineRule="auto" w:after="60"/>
      </w:pPr>
      <w:r>
        <w:rPr>
          <w:rFonts w:ascii="Times New Roman" w:hAnsi="Times New Roman"/>
          <w:sz w:val="24"/>
        </w:rPr>
        <w:t>Sina. (2024, April 21). First experience of workplace life for special education class youth. https://k.sina.cn/article_7517400647_1c0126e4705905051e.html</w:t>
      </w:r>
    </w:p>
    <w:p>
      <w:pPr>
        <w:spacing w:line="360" w:lineRule="auto" w:after="60"/>
      </w:pPr>
      <w:r>
        <w:rPr>
          <w:rFonts w:ascii="Times New Roman" w:hAnsi="Times New Roman"/>
          <w:sz w:val="24"/>
        </w:rPr>
        <w:t>Star/MIND. (2018, May 6). Different levels based on individual abilities: Wisma Harapan. https://mind.org.my/news/different-levels-based-on-individual-abilities/</w:t>
      </w:r>
    </w:p>
    <w:p>
      <w:pPr>
        <w:spacing w:line="360" w:lineRule="auto" w:after="60"/>
      </w:pPr>
      <w:r>
        <w:rPr>
          <w:rFonts w:ascii="Times New Roman" w:hAnsi="Times New Roman"/>
          <w:sz w:val="24"/>
        </w:rPr>
        <w:t>Tencent News. (2023, June 7). On-campus Xinyuan Xiaoshe coffee and access to ordinary life for special education students. https://view.inews.qq.com/a/20230607A067IB00</w:t>
      </w:r>
    </w:p>
    <w:p>
      <w:pPr>
        <w:spacing w:line="360" w:lineRule="auto" w:after="60"/>
      </w:pPr>
      <w:r>
        <w:rPr>
          <w:rFonts w:ascii="Times New Roman" w:hAnsi="Times New Roman"/>
          <w:sz w:val="24"/>
        </w:rPr>
        <w:t>van der Meulen, E., van der Putten, A., &amp; Vlaskamp, C. (2015). Work environment-related factors in obtaining and maintaining work in a competitive employment setting for employees with intellectual disabilities: A systematic review. Journal of Occupational Rehabilitation, 26(1), 156-171. https://doi.org/10.1007/s10926-015-9587-1</w:t>
      </w:r>
    </w:p>
    <w:p>
      <w:pPr>
        <w:spacing w:line="360" w:lineRule="auto" w:after="60"/>
      </w:pPr>
      <w:r>
        <w:rPr>
          <w:rFonts w:ascii="Times New Roman" w:hAnsi="Times New Roman"/>
          <w:sz w:val="24"/>
        </w:rPr>
        <w:t>WALS. (2022). Additional information for school visit: Sekolah Menengah Pendidikan Khas Vokasional Shah Alam. https://www.walsnet.org/2022/additional-information-for-school-visit</w:t>
      </w:r>
    </w:p>
    <w:p>
      <w:pPr>
        <w:spacing w:line="360" w:lineRule="auto" w:after="60"/>
      </w:pPr>
      <w:r>
        <w:rPr>
          <w:rFonts w:ascii="Times New Roman" w:hAnsi="Times New Roman"/>
          <w:sz w:val="24"/>
        </w:rPr>
        <w:t>Xianchuang Public Welfare Service Center, Fengxian District. (2026, May 11). Job-shadowing at Fengxian charity supermarket for special education students. https://mp.weixin.qq.com/s?src=11&amp;timestamp=1790491777&amp;ver=6991&amp;signature=zJkcrZC3QI05T51gLgQM2N-sqJDc7nZ654Yk5LGLmY3stPjYdY5aJKmzEb5n6aAXvVNoInhEhBrv748eFQDLP99xiaBtZidKLM70I6cGrWhOqs7l8sarKKDU7x2PbMOf&amp;new=1</w:t>
      </w:r>
    </w:p>
    <w:p>
      <w:pPr>
        <w:spacing w:line="360" w:lineRule="auto" w:after="60"/>
      </w:pPr>
      <w:r>
        <w:rPr>
          <w:rFonts w:ascii="Times New Roman" w:hAnsi="Times New Roman"/>
          <w:sz w:val="24"/>
        </w:rPr>
        <w:t>Yang, Q. (2021, January 26). Proposal on building internship bases for students with intellectual disability, autism and cerebral palsy and providing funding subsidies to receiving enterprises. China People's Political Consultative Conference. https://cppcc.china.com.cn/2021-01/26/content_77154809.htm</w:t>
      </w:r>
    </w:p>
    <w:p>
      <w:pPr>
        <w:spacing w:line="360" w:lineRule="auto" w:after="60"/>
      </w:pPr>
      <w:r>
        <w:rPr>
          <w:rFonts w:ascii="Times New Roman" w:hAnsi="Times New Roman"/>
          <w:sz w:val="24"/>
        </w:rPr>
        <w:t>Yusop, S. Z. (n.d.). Job Coach development in career transition in Malaysia. HRMARS. https://hrmars.com/papers_submitted/22358/job-coach-development-in-career-transition-in-malaysia.pdf</w:t>
      </w:r>
    </w:p>
    <w:sectPr w:rsidR="00FC693F" w:rsidRPr="0006063C" w:rsidSect="00034616">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{"Label":"1","ContentProducer":"001191440300708461136T1WFUO","ProduceID":"add0b63ffaa2f893c431c6b42a9cc494-WjYR","ReservedCode1":"{\"Type\":\" TC260PG\",\"Version\":1,\"Bindings\":[{\"Type\":\"soft\",\"AlgID\":\"sm3\",\"Value\":\"5e3ae8af6937f11a3d07db05f16934b72c5b9b88eeb8893620f34acb2768b51b\"},{\"Type\":\"hash\",\"AlgID\":\"sm3\",\"Value\":\"0ee2edc8240db734cf07605046553fcf120da789cafcdc7284bea01ba3193953\"}],\"PubSD\":[{\"Type\":\"DS\",\"AlgID\":\"sm2\",\"TBSData\":{\"Type\":\"Binding\",\"BType\":\"hash\"},\"Signature\":\"304502203b37b9106b7701a4d8e0e79cb744a62d44158df51eabd8843f6b1d667f0e9c7b02210084f67ca31b87dcd350fc29de2c2c73ea937a39ff304b9b1ac1957fb21f76b2af\"},{\"Type\":\"PubKey\",\"AlgID\":\"sm2\",\"KeyValue\":\"0407f79b28a17a752b3aae4305c98b48978213832729a2571850b1310b2bc9fe8fee039ccf25ebfeac27502414d9fcef792d777183c98893d226171c2f7a3289a2\"}],\"Extension\":{\"Timestamp\":1790492832,\"KeyVersion\":\"v1-TxLeOmf7bqU223\"}}","ContentPropagator":"001191440300708461136T1WFUO","PropagateID":"add0b63ffaa2f893c431c6b42a9cc494-WjYR","ReservedCode2":"{\"Type\":\" TC260PG\",\"Version\":1,\"Bindings\":[{\"Type\":\"soft\",\"AlgID\":\"sm3\",\"Value\":\"5e3ae8af6937f11a3d07db05f16934b72c5b9b88eeb8893620f34acb2768b51b\"},{\"Type\":\"hash\",\"AlgID\":\"sm3\",\"Value\":\"0ee2edc8240db734cf07605046553fcf120da789cafcdc7284bea01ba3193953\"}],\"PubSD\":[{\"Type\":\"DS\",\"AlgID\":\"sm2\",\"TBSData\":{\"Type\":\"Binding\",\"BType\":\"hash\"},\"Signature\":\"3045022009ffd992db106141b1503c7a878918446659cb925cd981343a7dad67ced70c52022100a151ef08b6ad00ced6102db38f998cc601722c7a1df28f7113e312f04764651d\"},{\"Type\":\"PubKey\",\"AlgID\":\"sm2\",\"KeyValue\":\"0407f79b28a17a752b3aae4305c98b48978213832729a2571850b1310b2bc9fe8fee039ccf25ebfeac27502414d9fcef792d777183c98893d226171c2f7a3289a2\"}],\"Extension\":{\"Timestamp\":1790492832,\"KeyVersion\":\"v1-TxLeOmf7bqU223\"}}"}</vt:lpwstr>
  </property>
</Properties>
</file>