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5"/>
        <w:spacing w:before="60" w:after="60"/>
        <w:jc w:val="left"/>
        <w:rPr/>
      </w:pPr>
      <w:r>
        <w:rPr/>
      </w:r>
    </w:p>
    <w:p>
      <w:pPr>
        <w:pStyle w:val="1"/>
        <w:rPr/>
      </w:pPr>
      <w:r>
        <w:rPr/>
        <w:t>儿童特教早期康复训练与学习双向影响因子分析：中国、马来西亚、新加坡、文莱四国比较</w:t>
      </w:r>
    </w:p>
    <w:p>
      <w:pPr>
        <w:pStyle w:val="Normal"/>
        <w:rPr/>
      </w:pPr>
      <w:r>
        <w:rPr>
          <w:b/>
        </w:rPr>
        <w:t>Bidirectional Influence Between Early Rehabilitation and Special Education Learning: A Four-Country Comparison of China, Malaysia, Singapore, and Brunei Darussalam</w:t>
      </w:r>
    </w:p>
    <w:p>
      <w:pPr>
        <w:pStyle w:val="Normal"/>
        <w:pBdr>
          <w:bottom w:val="single" w:sz="8" w:space="0" w:color="020201"/>
        </w:pBdr>
        <w:rPr/>
      </w:pPr>
      <w:r>
        <w:rPr/>
      </w:r>
    </w:p>
    <w:p>
      <w:pPr>
        <w:pStyle w:val="2"/>
        <w:rPr/>
      </w:pPr>
      <w:r>
        <w:rPr/>
        <w:t>摘要</w:t>
      </w:r>
    </w:p>
    <w:p>
      <w:pPr>
        <w:pStyle w:val="Normal"/>
        <w:rPr/>
      </w:pPr>
      <w:r>
        <w:rPr>
          <w:b/>
        </w:rPr>
        <w:t>目的</w:t>
      </w:r>
      <w:r>
        <w:rPr/>
        <w:t xml:space="preserve">：建构 </w:t>
      </w:r>
      <w:r>
        <w:rPr/>
        <w:t xml:space="preserve">0–6 </w:t>
      </w:r>
      <w:r>
        <w:rPr/>
        <w:t>岁特殊需要儿童早期康复与特殊教育（以下简称</w:t>
      </w:r>
      <w:r>
        <w:rPr/>
        <w:t>"</w:t>
      </w:r>
      <w:r>
        <w:rPr/>
        <w:t>特教</w:t>
      </w:r>
      <w:r>
        <w:rPr/>
        <w:t>"</w:t>
      </w:r>
      <w:r>
        <w:rPr/>
        <w:t>）学习之间双向影响的概念模型，识别其作用路径与调节变量，并在中国、马来西亚、新加坡、文莱四国之间比较介入程度、服务衔接度、家庭与社会接受度、政策支持度的制度差异。</w:t>
      </w:r>
      <w:r>
        <w:rPr>
          <w:b/>
        </w:rPr>
        <w:t>方法</w:t>
      </w:r>
      <w:r>
        <w:rPr/>
        <w:t xml:space="preserve">：系统检索中英文数据库与四国官方公开文件（检索时限 </w:t>
      </w:r>
      <w:r>
        <w:rPr/>
        <w:t xml:space="preserve">2014–2026 </w:t>
      </w:r>
      <w:r>
        <w:rPr/>
        <w:t>年），纳入实证研究、系统综述与国别政策文献，排除纯个案报道；对无法独立核实题录的文献执行</w:t>
      </w:r>
      <w:r>
        <w:rPr/>
        <w:t>"</w:t>
      </w:r>
      <w:r>
        <w:rPr/>
        <w:t>证据缺口声明</w:t>
      </w:r>
      <w:r>
        <w:rPr/>
        <w:t>"</w:t>
      </w:r>
      <w:r>
        <w:rPr/>
        <w:t>处理，不以邻近国家证据替代本地证据。</w:t>
      </w:r>
      <w:r>
        <w:rPr>
          <w:b/>
        </w:rPr>
        <w:t>结果</w:t>
      </w:r>
      <w:r>
        <w:rPr/>
        <w:t>：康复经由感觉调节、姿势与动作、共同注意、语言理解、执行功能与情绪调节五条路径塑造</w:t>
      </w:r>
      <w:r>
        <w:rPr/>
        <w:t>"</w:t>
      </w:r>
      <w:r>
        <w:rPr/>
        <w:t>学习准备度</w:t>
      </w:r>
      <w:r>
        <w:rPr/>
        <w:t>"</w:t>
      </w:r>
      <w:r>
        <w:rPr/>
        <w:t>；特教学习经由情境密度、动机与泛化机会三条机制反哺康复，二者构成可正可负的反馈回路。调节该回路净方向的核心构念是</w:t>
      </w:r>
      <w:r>
        <w:rPr>
          <w:b/>
        </w:rPr>
        <w:t>情境共享度</w:t>
      </w:r>
      <w:r>
        <w:rPr/>
        <w:t>，即康复目标与学习目标是否在同一情境、由同一批成人、依据同一份计划执行——而非</w:t>
      </w:r>
      <w:r>
        <w:rPr/>
        <w:t>"</w:t>
      </w:r>
      <w:r>
        <w:rPr/>
        <w:t>是否提供了康复服务</w:t>
      </w:r>
      <w:r>
        <w:rPr/>
        <w:t>"</w:t>
      </w:r>
      <w:r>
        <w:rPr/>
        <w:t>本身。</w:t>
      </w:r>
      <w:r>
        <w:rPr>
          <w:b/>
        </w:rPr>
        <w:t>结论</w:t>
      </w:r>
      <w:r>
        <w:rPr/>
        <w:t>：四国在制度性整合程度上呈梯度差异（新加坡的制度分层最成熟，中国的政策框架最完整但衔接成本集中于部门分割，马来西亚正通过校内跨学科中心将康复力量引入教育场域，文莱受人口规模约束而存在结构性证据缺口）；跨部门整合的收益主要来自</w:t>
      </w:r>
      <w:r>
        <w:rPr>
          <w:b/>
        </w:rPr>
        <w:t>降低技能迁移损耗与家庭路径成本</w:t>
      </w:r>
      <w:r>
        <w:rPr/>
        <w:t>，而非新增疗法。本文明确拒绝对四国</w:t>
      </w:r>
      <w:r>
        <w:rPr/>
        <w:t>"</w:t>
      </w:r>
      <w:r>
        <w:rPr/>
        <w:t>干预效应强度</w:t>
      </w:r>
      <w:r>
        <w:rPr/>
        <w:t>"</w:t>
      </w:r>
      <w:r>
        <w:rPr/>
        <w:t>进行排序，主张以可核实的制度整合度与证据可得性替代之。</w:t>
      </w:r>
    </w:p>
    <w:p>
      <w:pPr>
        <w:pStyle w:val="Normal"/>
        <w:rPr/>
      </w:pPr>
      <w:r>
        <w:rPr>
          <w:b/>
        </w:rPr>
        <w:t>关键词</w:t>
      </w:r>
      <w:r>
        <w:rPr/>
        <w:t>：早期康复；特殊教育；医教结合；双向干预；自然发展行为干预；情境共享度；东南亚特殊教育；学龄前发展障碍</w:t>
      </w:r>
    </w:p>
    <w:p>
      <w:pPr>
        <w:pStyle w:val="Normal"/>
        <w:pBdr>
          <w:bottom w:val="single" w:sz="8" w:space="0" w:color="020201"/>
        </w:pBdr>
        <w:rPr/>
      </w:pPr>
      <w:r>
        <w:rPr/>
      </w:r>
    </w:p>
    <w:p>
      <w:pPr>
        <w:pStyle w:val="2"/>
        <w:rPr/>
      </w:pPr>
      <w:r>
        <w:rPr/>
        <w:t>Abstract</w:t>
      </w:r>
    </w:p>
    <w:p>
      <w:pPr>
        <w:pStyle w:val="Normal"/>
        <w:rPr/>
      </w:pPr>
      <w:r>
        <w:rPr>
          <w:b/>
        </w:rPr>
        <w:t>Objective:</w:t>
      </w:r>
      <w:r>
        <w:rPr/>
        <w:t xml:space="preserve"> To construct a conceptual model of the bidirectional influence between early rehabilitation and special education learning among children aged 0–6 with special needs, to identify its pathways and moderators, and to compare institutional differences across China, Malaysia, Singapore, and Brunei Darussalam in intervention intensity, service integration, family and societal acceptance, and policy support. </w:t>
      </w:r>
      <w:r>
        <w:rPr>
          <w:b/>
        </w:rPr>
        <w:t>Method:</w:t>
      </w:r>
      <w:r>
        <w:rPr/>
        <w:t xml:space="preserve"> Systematic searches of Chinese and English databases and official government sources (2014–2026) were conducted. Empirical studies, systematic reviews, and national policy documents were included; case reports were excluded. Sources whose bibliographic details could not be independently verified were handled through explicit evidence-gap declarations rather than substitution with evidence from neighbouring countries. </w:t>
      </w:r>
      <w:r>
        <w:rPr>
          <w:b/>
        </w:rPr>
        <w:t>Results:</w:t>
      </w:r>
      <w:r>
        <w:rPr/>
        <w:t xml:space="preserve"> Rehabilitation shapes </w:t>
      </w:r>
      <w:r>
        <w:rPr>
          <w:i/>
        </w:rPr>
        <w:t>learning readiness</w:t>
      </w:r>
      <w:r>
        <w:rPr/>
        <w:t xml:space="preserve"> through five pathways—sensory regulation, postural and motor control, joint attention, language comprehension, and executive/emotional regulation—whereas special education learning feeds back into rehabilitation through three mechanisms: contextual density, motivation, and generalization opportunities. Together they form feedback loops that may be positive or negative. The construct governing the net direction of these loops is </w:t>
      </w:r>
      <w:r>
        <w:rPr>
          <w:b/>
        </w:rPr>
        <w:t>contextual embeddedness</w:t>
      </w:r>
      <w:r>
        <w:rPr/>
        <w:t xml:space="preserve">—whether rehabilitation and learning goals are pursued in the same setting, by the same adults, and under a shared plan—rather than whether rehabilitation is provided at all. </w:t>
      </w:r>
      <w:r>
        <w:rPr>
          <w:b/>
        </w:rPr>
        <w:t>Conclusion:</w:t>
      </w:r>
      <w:r>
        <w:rPr/>
        <w:t xml:space="preserve"> The four jurisdictions differ gradiently in institutional integration. The marginal benefit of cross-sector integration derives chiefly from reducing skill-transfer loss and family navigation costs, not from adding therapies. Ranking countries by intervention effect size is rejected as unsupported; verifiable indicators of institutional integration and evidence availability are proposed instead.</w:t>
      </w:r>
    </w:p>
    <w:p>
      <w:pPr>
        <w:pStyle w:val="Normal"/>
        <w:rPr/>
      </w:pPr>
      <w:r>
        <w:rPr>
          <w:b/>
        </w:rPr>
        <w:t>Keywords:</w:t>
      </w:r>
      <w:r>
        <w:rPr/>
        <w:t xml:space="preserve"> early rehabilitation, special education, medical-educational integration, bidirectional intervention, naturalistic developmental behavioral interventions, contextual embeddedness, Southeast Asian special education, preschool developmental disorders</w:t>
      </w:r>
    </w:p>
    <w:p>
      <w:pPr>
        <w:pStyle w:val="Normal"/>
        <w:pBdr>
          <w:bottom w:val="single" w:sz="8" w:space="0" w:color="020201"/>
        </w:pBdr>
        <w:rPr/>
      </w:pPr>
      <w:r>
        <w:rPr/>
      </w:r>
    </w:p>
    <w:p>
      <w:pPr>
        <w:pStyle w:val="2"/>
        <w:rPr/>
      </w:pPr>
      <w:r>
        <w:rPr/>
        <w:t xml:space="preserve">1. </w:t>
      </w:r>
      <w:r>
        <w:rPr/>
        <w:t>引言</w:t>
      </w:r>
    </w:p>
    <w:p>
      <w:pPr>
        <w:pStyle w:val="3"/>
        <w:rPr/>
      </w:pPr>
      <w:r>
        <w:rPr/>
        <w:t xml:space="preserve">1.1 </w:t>
      </w:r>
      <w:r>
        <w:rPr/>
        <w:t>问题的提出</w:t>
      </w:r>
    </w:p>
    <w:p>
      <w:pPr>
        <w:pStyle w:val="Normal"/>
        <w:rPr/>
      </w:pPr>
      <w:r>
        <w:rPr/>
        <w:t>早期康复与特殊教育在制度上被安置于两套彼此独立的语言体系之中。前者归属于卫生健康与残疾人事务系统，以功能增进、障碍减轻为旨归，其典型形态是治疗师与儿童之间的一对一或小组训练；后者归属于教育系统，以课程参与、学习达成与社会适应为旨归，其典型形态是班级授课与融合环境。这种分工在行政意义上清晰可辨，但对儿童而言却是人为的割裂——一名四岁的孤独症谱系障碍（</w:t>
      </w:r>
      <w:r>
        <w:rPr/>
        <w:t>autism spectrum disorder, ASD</w:t>
      </w:r>
      <w:r>
        <w:rPr/>
        <w:t>）幼儿不会在上午九时启动</w:t>
      </w:r>
      <w:r>
        <w:rPr/>
        <w:t>"</w:t>
      </w:r>
      <w:r>
        <w:rPr/>
        <w:t>康复模式</w:t>
      </w:r>
      <w:r>
        <w:rPr/>
        <w:t>"</w:t>
      </w:r>
      <w:r>
        <w:rPr/>
        <w:t>，又在十时切换为</w:t>
      </w:r>
      <w:r>
        <w:rPr/>
        <w:t>"</w:t>
      </w:r>
      <w:r>
        <w:rPr/>
        <w:t>学习模式</w:t>
      </w:r>
      <w:r>
        <w:rPr/>
        <w:t>"</w:t>
      </w:r>
      <w:r>
        <w:rPr/>
        <w:t>。</w:t>
      </w:r>
    </w:p>
    <w:p>
      <w:pPr>
        <w:pStyle w:val="Normal"/>
        <w:rPr/>
      </w:pPr>
      <w:r>
        <w:rPr/>
        <w:t>若承认发展具有连续性，则康复与学习之间就不应被理解为</w:t>
      </w:r>
      <w:r>
        <w:rPr/>
        <w:t>"</w:t>
      </w:r>
      <w:r>
        <w:rPr/>
        <w:t>先康复、后学习</w:t>
      </w:r>
      <w:r>
        <w:rPr/>
        <w:t>"</w:t>
      </w:r>
      <w:r>
        <w:rPr/>
        <w:t>的线性衔接，而应被视为相互构成的关系。康复训练一旦脱离儿童真实的学习与社会情境，便容易产生</w:t>
      </w:r>
      <w:r>
        <w:rPr/>
        <w:t>"</w:t>
      </w:r>
      <w:r>
        <w:rPr/>
        <w:t>诊室内有效、教室内失效</w:t>
      </w:r>
      <w:r>
        <w:rPr/>
        <w:t>"</w:t>
      </w:r>
      <w:r>
        <w:rPr/>
        <w:t>的技能；反之，若特教学习无视儿童的感觉调节、动作与语言基础，课堂要求本身就会转而成为挫败体验与问题行为的来源。</w:t>
      </w:r>
    </w:p>
    <w:p>
      <w:pPr>
        <w:pStyle w:val="Normal"/>
        <w:rPr/>
      </w:pPr>
      <w:r>
        <w:rPr/>
        <w:t>由此，本文的核心命题可表述为：</w:t>
      </w:r>
      <w:r>
        <w:rPr>
          <w:b/>
        </w:rPr>
        <w:t>康复与学习之间存在双向影响，而该双向关系的净效应方向，取决于二者的目标是否在同一情境中被整合。</w:t>
      </w:r>
    </w:p>
    <w:p>
      <w:pPr>
        <w:pStyle w:val="3"/>
        <w:rPr/>
      </w:pPr>
      <w:r>
        <w:rPr/>
        <w:t xml:space="preserve">1.2 </w:t>
      </w:r>
      <w:r>
        <w:rPr/>
        <w:t>核心概念界定</w:t>
      </w:r>
    </w:p>
    <w:p>
      <w:pPr>
        <w:pStyle w:val="Normal"/>
        <w:rPr/>
      </w:pPr>
      <w:r>
        <w:rPr/>
        <w:t>为避免概念滑动，本文先行界定三个关键术语。</w:t>
      </w:r>
    </w:p>
    <w:p>
      <w:pPr>
        <w:pStyle w:val="Normal"/>
        <w:rPr/>
      </w:pPr>
      <w:r>
        <w:rPr/>
        <w:t>其一，</w:t>
      </w:r>
      <w:r>
        <w:rPr>
          <w:b/>
        </w:rPr>
        <w:t>早期康复</w:t>
      </w:r>
      <w:r>
        <w:rPr/>
        <w:t xml:space="preserve">指针对 </w:t>
      </w:r>
      <w:r>
        <w:rPr/>
        <w:t xml:space="preserve">0–6 </w:t>
      </w:r>
      <w:r>
        <w:rPr/>
        <w:t>岁发展偏离或障碍儿童，由康复医师、作业治疗师、言语—语言治疗师、物理治疗师、心理治疗师等实施的、以增进功能与参与为目标的规范化训练，其靶点既包括身体结构与功能层面，也包括活动与社会参与层面。这一界定与《国际功能、残疾和健康分类（儿童与青少年版）》（</w:t>
      </w:r>
      <w:r>
        <w:rPr/>
        <w:t>ICF-CY</w:t>
      </w:r>
      <w:r>
        <w:rPr/>
        <w:t>）将</w:t>
      </w:r>
      <w:r>
        <w:rPr/>
        <w:t>"</w:t>
      </w:r>
      <w:r>
        <w:rPr/>
        <w:t>功能</w:t>
      </w:r>
      <w:r>
        <w:rPr/>
        <w:t>"</w:t>
      </w:r>
      <w:r>
        <w:rPr/>
        <w:t>理解为健康状态、个人因素与环境因素交互结果的立场一致。</w:t>
      </w:r>
    </w:p>
    <w:p>
      <w:pPr>
        <w:pStyle w:val="Normal"/>
        <w:rPr/>
      </w:pPr>
      <w:r>
        <w:rPr/>
        <w:t>其二，</w:t>
      </w:r>
      <w:r>
        <w:rPr>
          <w:b/>
        </w:rPr>
        <w:t>特教学习</w:t>
      </w:r>
      <w:r>
        <w:rPr/>
        <w:t>在本文中专指学龄前阶段在幼儿园、特教班、资源教室或融合班级中发生的有计划的学习活动，包括但不限于集体教学、区域游戏、生活环节与同伴互动。本文刻意将其与</w:t>
      </w:r>
      <w:r>
        <w:rPr/>
        <w:t>"</w:t>
      </w:r>
      <w:r>
        <w:rPr/>
        <w:t>训练</w:t>
      </w:r>
      <w:r>
        <w:rPr/>
        <w:t>"</w:t>
      </w:r>
      <w:r>
        <w:rPr/>
        <w:t>区分：学习的组织逻辑是课程与情境，训练的组织逻辑是目标与回合。</w:t>
      </w:r>
    </w:p>
    <w:p>
      <w:pPr>
        <w:pStyle w:val="Normal"/>
        <w:rPr/>
      </w:pPr>
      <w:r>
        <w:rPr/>
        <w:t>其三，</w:t>
      </w:r>
      <w:r>
        <w:rPr>
          <w:b/>
        </w:rPr>
        <w:t>双向影响</w:t>
      </w:r>
      <w:r>
        <w:rPr/>
        <w:t xml:space="preserve">是指两个方向上的因果作用同时存在且相互作用，而非简单的相关或先后关系。它要求满足三项条件：存在可识别的作用路径、存在可观察的反馈回路、存在决定回路方向的调节变量。本文第 </w:t>
      </w:r>
      <w:r>
        <w:rPr/>
        <w:t xml:space="preserve">3 </w:t>
      </w:r>
      <w:r>
        <w:rPr/>
        <w:t>节将逐项论证。</w:t>
      </w:r>
    </w:p>
    <w:p>
      <w:pPr>
        <w:pStyle w:val="3"/>
        <w:rPr/>
      </w:pPr>
      <w:r>
        <w:rPr/>
        <w:t xml:space="preserve">1.3 </w:t>
      </w:r>
      <w:r>
        <w:rPr/>
        <w:t>研究问题</w:t>
      </w:r>
    </w:p>
    <w:p>
      <w:pPr>
        <w:pStyle w:val="Normal"/>
        <w:rPr/>
      </w:pPr>
      <w:r>
        <w:rPr/>
        <w:t>基于上述命题，本文试图回答三个递进的问题：</w:t>
      </w:r>
    </w:p>
    <w:p>
      <w:pPr>
        <w:pStyle w:val="Normal"/>
        <w:numPr>
          <w:ilvl w:val="0"/>
          <w:numId w:val="4"/>
        </w:numPr>
        <w:rPr/>
      </w:pPr>
      <w:r>
        <w:rPr/>
        <w:t>康复作用于学习、学习作用于康复的具体机制路径为何？各路径的证据强度如何分布？</w:t>
      </w:r>
    </w:p>
    <w:p>
      <w:pPr>
        <w:pStyle w:val="Normal"/>
        <w:numPr>
          <w:ilvl w:val="0"/>
          <w:numId w:val="4"/>
        </w:numPr>
        <w:rPr/>
      </w:pPr>
      <w:r>
        <w:rPr/>
        <w:t>何种变量决定了双向回路的方向与强度？该变量在四国的制度安排中呈现何种差异？</w:t>
      </w:r>
    </w:p>
    <w:p>
      <w:pPr>
        <w:pStyle w:val="Normal"/>
        <w:numPr>
          <w:ilvl w:val="0"/>
          <w:numId w:val="4"/>
        </w:numPr>
        <w:rPr/>
      </w:pPr>
      <w:r>
        <w:rPr/>
        <w:t>在资源、地理与人口尺度高度异质的条件下，何种整合策略具备跨区域可迁移性？</w:t>
      </w:r>
    </w:p>
    <w:p>
      <w:pPr>
        <w:pStyle w:val="3"/>
        <w:rPr/>
      </w:pPr>
      <w:r>
        <w:rPr/>
        <w:t xml:space="preserve">1.4 </w:t>
      </w:r>
      <w:r>
        <w:rPr/>
        <w:t>本文的边际贡献</w:t>
      </w:r>
    </w:p>
    <w:p>
      <w:pPr>
        <w:pStyle w:val="Normal"/>
        <w:rPr/>
      </w:pPr>
      <w:r>
        <w:rPr/>
        <w:t>相对于既有讨论，本文试图在三个方面推进：第一，提出</w:t>
      </w:r>
      <w:r>
        <w:rPr/>
        <w:t>"</w:t>
      </w:r>
      <w:r>
        <w:rPr/>
        <w:t>情境共享度</w:t>
      </w:r>
      <w:r>
        <w:rPr/>
        <w:t>"</w:t>
      </w:r>
      <w:r>
        <w:rPr/>
        <w:t>这一可操作化的构念，将</w:t>
      </w:r>
      <w:r>
        <w:rPr/>
        <w:t>"</w:t>
      </w:r>
      <w:r>
        <w:rPr/>
        <w:t>医教结合</w:t>
      </w:r>
      <w:r>
        <w:rPr/>
        <w:t>"</w:t>
      </w:r>
      <w:r>
        <w:rPr/>
        <w:t>从政策口号转化为可检验的机制命题；第二，在比较中严格区分</w:t>
      </w:r>
      <w:r>
        <w:rPr>
          <w:b/>
        </w:rPr>
        <w:t>制度性整合度</w:t>
      </w:r>
      <w:r>
        <w:rPr/>
        <w:t>（可观察、可核实）与</w:t>
      </w:r>
      <w:r>
        <w:rPr>
          <w:b/>
        </w:rPr>
        <w:t>干预效应强度</w:t>
      </w:r>
      <w:r>
        <w:rPr/>
        <w:t>（需要跨国比较研究，四国目前不具备），纠正将二者混同的常见做法；第三，对证据薄弱的法域作明确缺口声明，而非以邻近国家的材料填充，并对马来西亚东西马、中国县域等次国家层面的差异保持同样的谨慎。</w:t>
      </w:r>
    </w:p>
    <w:p>
      <w:pPr>
        <w:pStyle w:val="Normal"/>
        <w:pBdr>
          <w:bottom w:val="single" w:sz="8" w:space="0" w:color="020201"/>
        </w:pBdr>
        <w:rPr/>
      </w:pPr>
      <w:r>
        <w:rPr/>
      </w:r>
    </w:p>
    <w:p>
      <w:pPr>
        <w:pStyle w:val="2"/>
        <w:rPr/>
      </w:pPr>
      <w:r>
        <w:rPr/>
        <w:t xml:space="preserve">2. </w:t>
      </w:r>
      <w:r>
        <w:rPr/>
        <w:t>方法：检索策略与证据处理原则</w:t>
      </w:r>
    </w:p>
    <w:p>
      <w:pPr>
        <w:pStyle w:val="3"/>
        <w:rPr/>
      </w:pPr>
      <w:r>
        <w:rPr/>
        <w:t xml:space="preserve">2.1 </w:t>
      </w:r>
      <w:r>
        <w:rPr/>
        <w:t>检索来源与检索式</w:t>
      </w:r>
    </w:p>
    <w:p>
      <w:pPr>
        <w:pStyle w:val="Normal"/>
        <w:rPr/>
      </w:pPr>
      <w:r>
        <w:rPr/>
        <w:t>本文检索的数据库包括中国知网（</w:t>
      </w:r>
      <w:r>
        <w:rPr/>
        <w:t>CNKI</w:t>
      </w:r>
      <w:r>
        <w:rPr/>
        <w:t>）、万方数据、</w:t>
      </w:r>
      <w:r>
        <w:rPr/>
        <w:t xml:space="preserve">Web of Science </w:t>
      </w:r>
      <w:r>
        <w:rPr/>
        <w:t>核心合集、</w:t>
      </w:r>
      <w:r>
        <w:rPr/>
        <w:t>ERIC</w:t>
      </w:r>
      <w:r>
        <w:rPr/>
        <w:t>、</w:t>
      </w:r>
      <w:r>
        <w:rPr/>
        <w:t xml:space="preserve">PubMed </w:t>
      </w:r>
      <w:r>
        <w:rPr/>
        <w:t xml:space="preserve">及马来西亚学术数据库 </w:t>
      </w:r>
      <w:r>
        <w:rPr/>
        <w:t>MyCite</w:t>
      </w:r>
      <w:r>
        <w:rPr/>
        <w:t>。考虑到政策比较的高度制度依赖性，另补充检索四国卫生部、教育部、社会福利与妇女家庭事务部门的官方公开文件、国会或部长答问记录，以及国家统计部门的公开数据。</w:t>
      </w:r>
    </w:p>
    <w:p>
      <w:pPr>
        <w:pStyle w:val="Normal"/>
        <w:rPr/>
      </w:pPr>
      <w:r>
        <w:rPr/>
        <w:t>中文检索词为</w:t>
      </w:r>
      <w:r>
        <w:rPr/>
        <w:t>"</w:t>
      </w:r>
      <w:r>
        <w:rPr/>
        <w:t>特殊儿童</w:t>
      </w:r>
      <w:r>
        <w:rPr/>
        <w:t>""</w:t>
      </w:r>
      <w:r>
        <w:rPr/>
        <w:t>早期干预</w:t>
      </w:r>
      <w:r>
        <w:rPr/>
        <w:t>""</w:t>
      </w:r>
      <w:r>
        <w:rPr/>
        <w:t>康复训练</w:t>
      </w:r>
      <w:r>
        <w:rPr/>
        <w:t>""</w:t>
      </w:r>
      <w:r>
        <w:rPr/>
        <w:t>医教结合</w:t>
      </w:r>
      <w:r>
        <w:rPr/>
        <w:t>""</w:t>
      </w:r>
      <w:r>
        <w:rPr/>
        <w:t>康教融合</w:t>
      </w:r>
      <w:r>
        <w:rPr/>
        <w:t>""</w:t>
      </w:r>
      <w:r>
        <w:rPr/>
        <w:t>学龄前</w:t>
      </w:r>
      <w:r>
        <w:rPr/>
        <w:t>""</w:t>
      </w:r>
      <w:r>
        <w:rPr/>
        <w:t>特殊教育</w:t>
      </w:r>
      <w:r>
        <w:rPr/>
        <w:t>""</w:t>
      </w:r>
      <w:r>
        <w:rPr/>
        <w:t>融合教育</w:t>
      </w:r>
      <w:r>
        <w:rPr/>
        <w:t>""</w:t>
      </w:r>
      <w:r>
        <w:rPr/>
        <w:t>资源教室</w:t>
      </w:r>
      <w:r>
        <w:rPr/>
        <w:t>""</w:t>
      </w:r>
      <w:r>
        <w:rPr/>
        <w:t>随班就读</w:t>
      </w:r>
      <w:r>
        <w:rPr/>
        <w:t>"</w:t>
      </w:r>
      <w:r>
        <w:rPr/>
        <w:t xml:space="preserve">；英文检索词为 </w:t>
      </w:r>
      <w:r>
        <w:rPr>
          <w:i/>
        </w:rPr>
        <w:t>early intervention, special education, rehabilitation, children with developmental disabilities, autism spectrum disorder, developmental delay, service integration, medical-educational integration</w:t>
      </w:r>
      <w:r>
        <w:rPr/>
        <w:t xml:space="preserve">，分别与 </w:t>
      </w:r>
      <w:r>
        <w:rPr>
          <w:i/>
        </w:rPr>
        <w:t>China, Malaysia, Singapore, Brunei Darussalam</w:t>
      </w:r>
      <w:r>
        <w:rPr/>
        <w:t xml:space="preserve"> </w:t>
      </w:r>
      <w:r>
        <w:rPr/>
        <w:t>组合检索。</w:t>
      </w:r>
    </w:p>
    <w:p>
      <w:pPr>
        <w:pStyle w:val="3"/>
        <w:rPr/>
      </w:pPr>
      <w:r>
        <w:rPr/>
        <w:t xml:space="preserve">2.2 </w:t>
      </w:r>
      <w:r>
        <w:rPr/>
        <w:t>纳入与排除标准</w:t>
      </w:r>
    </w:p>
    <w:p>
      <w:pPr>
        <w:pStyle w:val="Normal"/>
        <w:rPr/>
      </w:pPr>
      <w:r>
        <w:rPr/>
        <w:t xml:space="preserve">纳入标准包括：发表或发布于 </w:t>
      </w:r>
      <w:r>
        <w:rPr/>
        <w:t xml:space="preserve">2014 </w:t>
      </w:r>
      <w:r>
        <w:rPr/>
        <w:t xml:space="preserve">至 </w:t>
      </w:r>
      <w:r>
        <w:rPr/>
        <w:t xml:space="preserve">2026 </w:t>
      </w:r>
      <w:r>
        <w:rPr/>
        <w:t xml:space="preserve">年之间；研究类型为实证研究、系统综述、荟萃分析、国别政策研究或政府公开文件；研究对象为 </w:t>
      </w:r>
      <w:r>
        <w:rPr/>
        <w:t xml:space="preserve">0–6 </w:t>
      </w:r>
      <w:r>
        <w:rPr/>
        <w:t>岁的孤独症谱系障碍、全面发育迟缓、语言障碍或智力障碍儿童。排除标准包括：纯个案报道、无原始数据的商业宣传材料，以及无法核实题录信息的条目。</w:t>
      </w:r>
    </w:p>
    <w:p>
      <w:pPr>
        <w:pStyle w:val="3"/>
        <w:rPr/>
      </w:pPr>
      <w:r>
        <w:rPr/>
        <w:t xml:space="preserve">2.3 </w:t>
      </w:r>
      <w:r>
        <w:rPr/>
        <w:t>证据处理的可核查性原则</w:t>
      </w:r>
    </w:p>
    <w:p>
      <w:pPr>
        <w:pStyle w:val="Normal"/>
        <w:rPr/>
      </w:pPr>
      <w:r>
        <w:rPr/>
        <w:t>本文采用一项严格的自我约束：</w:t>
      </w:r>
      <w:r>
        <w:rPr>
          <w:b/>
        </w:rPr>
        <w:t xml:space="preserve">凡在公开渠道无法独立核实作者、题名、期刊、年份、卷期或 </w:t>
      </w:r>
      <w:r>
        <w:rPr>
          <w:b/>
        </w:rPr>
        <w:t xml:space="preserve">DOI </w:t>
      </w:r>
      <w:r>
        <w:rPr>
          <w:b/>
        </w:rPr>
        <w:t>的文献，一律不进入参考文献，改以</w:t>
      </w:r>
      <w:r>
        <w:rPr>
          <w:b/>
        </w:rPr>
        <w:t>"</w:t>
      </w:r>
      <w:r>
        <w:rPr>
          <w:b/>
        </w:rPr>
        <w:t>证据缺口</w:t>
      </w:r>
      <w:r>
        <w:rPr>
          <w:b/>
        </w:rPr>
        <w:t>"</w:t>
      </w:r>
      <w:r>
        <w:rPr>
          <w:b/>
        </w:rPr>
        <w:t>在正文中声明。</w:t>
      </w:r>
      <w:r>
        <w:rPr/>
        <w:t xml:space="preserve"> 依此原则，原稿中若干条目经检索未能核实，已予剔除，包括：署名 </w:t>
      </w:r>
      <w:r>
        <w:rPr/>
        <w:t xml:space="preserve">Chung </w:t>
      </w:r>
      <w:r>
        <w:rPr/>
        <w:t>等（</w:t>
      </w:r>
      <w:r>
        <w:rPr/>
        <w:t>2021</w:t>
      </w:r>
      <w:r>
        <w:rPr/>
        <w:t xml:space="preserve">）载于 </w:t>
      </w:r>
      <w:r>
        <w:rPr>
          <w:i/>
        </w:rPr>
        <w:t>Journal of Early Intervention</w:t>
      </w:r>
      <w:r>
        <w:rPr/>
        <w:t xml:space="preserve"> </w:t>
      </w:r>
      <w:r>
        <w:rPr/>
        <w:t xml:space="preserve">的论文；署名 </w:t>
      </w:r>
      <w:r>
        <w:rPr/>
        <w:t xml:space="preserve">Hassan </w:t>
      </w:r>
      <w:r>
        <w:rPr/>
        <w:t xml:space="preserve">与 </w:t>
      </w:r>
      <w:r>
        <w:rPr/>
        <w:t>Rahman</w:t>
      </w:r>
      <w:r>
        <w:rPr/>
        <w:t>（</w:t>
      </w:r>
      <w:r>
        <w:rPr/>
        <w:t>2022</w:t>
      </w:r>
      <w:r>
        <w:rPr/>
        <w:t xml:space="preserve">）载于 </w:t>
      </w:r>
      <w:r>
        <w:rPr>
          <w:i/>
        </w:rPr>
        <w:t>International Journal of Early Childhood Special Education</w:t>
      </w:r>
      <w:r>
        <w:rPr/>
        <w:t xml:space="preserve"> </w:t>
      </w:r>
      <w:r>
        <w:rPr/>
        <w:t xml:space="preserve">的论文；署名 </w:t>
      </w:r>
      <w:r>
        <w:rPr/>
        <w:t xml:space="preserve">Othman </w:t>
      </w:r>
      <w:r>
        <w:rPr/>
        <w:t xml:space="preserve">与 </w:t>
      </w:r>
      <w:r>
        <w:rPr/>
        <w:t>Yatim</w:t>
      </w:r>
      <w:r>
        <w:rPr/>
        <w:t>（</w:t>
      </w:r>
      <w:r>
        <w:rPr/>
        <w:t>2019</w:t>
      </w:r>
      <w:r>
        <w:rPr/>
        <w:t xml:space="preserve">）载于 </w:t>
      </w:r>
      <w:r>
        <w:rPr>
          <w:i/>
        </w:rPr>
        <w:t>Malaysian Journal of Medical Sciences</w:t>
      </w:r>
      <w:r>
        <w:rPr/>
        <w:t xml:space="preserve"> </w:t>
      </w:r>
      <w:r>
        <w:rPr/>
        <w:t xml:space="preserve">的论文；以及一条作者姓名与 </w:t>
      </w:r>
      <w:r>
        <w:rPr/>
        <w:t xml:space="preserve">DOI </w:t>
      </w:r>
      <w:r>
        <w:rPr/>
        <w:t>均与已核实题录不符的中文早期介入丹佛模式研究（其正确题录为高迪等，</w:t>
      </w:r>
      <w:r>
        <w:rPr/>
        <w:t>2020</w:t>
      </w:r>
      <w:r>
        <w:rPr/>
        <w:t>，已替换使用）。</w:t>
      </w:r>
    </w:p>
    <w:p>
      <w:pPr>
        <w:pStyle w:val="Normal"/>
        <w:rPr/>
      </w:pPr>
      <w:r>
        <w:rPr/>
        <w:t>需要强调，剔除行为仅涉及可核查性，</w:t>
      </w:r>
      <w:r>
        <w:rPr>
          <w:b/>
        </w:rPr>
        <w:t>不构成对任一法域研究水平的判断</w:t>
      </w:r>
      <w:r>
        <w:rPr/>
        <w:t>。</w:t>
      </w:r>
    </w:p>
    <w:p>
      <w:pPr>
        <w:pStyle w:val="3"/>
        <w:rPr/>
      </w:pPr>
      <w:r>
        <w:rPr/>
        <w:t xml:space="preserve">2.4 </w:t>
      </w:r>
      <w:r>
        <w:rPr/>
        <w:t>三级标注体系</w:t>
      </w:r>
    </w:p>
    <w:p>
      <w:pPr>
        <w:pStyle w:val="Normal"/>
        <w:rPr/>
      </w:pPr>
      <w:r>
        <w:rPr/>
        <w:t>为便于读者判断每一论断的可靠性，全文采用统一的标注体例：</w:t>
      </w:r>
    </w:p>
    <w:p>
      <w:pPr>
        <w:pStyle w:val="Normal"/>
        <w:numPr>
          <w:ilvl w:val="0"/>
          <w:numId w:val="3"/>
        </w:numPr>
        <w:rPr/>
      </w:pPr>
      <w:r>
        <w:rPr>
          <w:b/>
        </w:rPr>
        <w:t>甲类是证据支持型陈述</w:t>
      </w:r>
      <w:r>
        <w:rPr/>
        <w:t>，即由同行评议实证研究或官方文件直接支撑的表述，正文以文献引用标记；</w:t>
      </w:r>
    </w:p>
    <w:p>
      <w:pPr>
        <w:pStyle w:val="Normal"/>
        <w:numPr>
          <w:ilvl w:val="0"/>
          <w:numId w:val="3"/>
        </w:numPr>
        <w:rPr/>
      </w:pPr>
      <w:r>
        <w:rPr>
          <w:b/>
        </w:rPr>
        <w:t>乙类是作者推论</w:t>
      </w:r>
      <w:r>
        <w:rPr/>
        <w:t>，即基于可核实材料所作的分析性判断，正文以</w:t>
      </w:r>
      <w:r>
        <w:rPr/>
        <w:t>"</w:t>
      </w:r>
      <w:r>
        <w:rPr/>
        <w:t>本文推论</w:t>
      </w:r>
      <w:r>
        <w:rPr/>
        <w:t>""</w:t>
      </w:r>
      <w:r>
        <w:rPr/>
        <w:t>由此推断</w:t>
      </w:r>
      <w:r>
        <w:rPr/>
        <w:t>"</w:t>
      </w:r>
      <w:r>
        <w:rPr/>
        <w:t>等措辞显式标注；</w:t>
      </w:r>
    </w:p>
    <w:p>
      <w:pPr>
        <w:pStyle w:val="Normal"/>
        <w:numPr>
          <w:ilvl w:val="0"/>
          <w:numId w:val="3"/>
        </w:numPr>
        <w:rPr/>
      </w:pPr>
      <w:r>
        <w:rPr>
          <w:b/>
        </w:rPr>
        <w:t>丙类是政策建议</w:t>
      </w:r>
      <w:r>
        <w:rPr/>
        <w:t>，即规范层面的主张，正文以</w:t>
      </w:r>
      <w:r>
        <w:rPr/>
        <w:t>"</w:t>
      </w:r>
      <w:r>
        <w:rPr/>
        <w:t>建议</w:t>
      </w:r>
      <w:r>
        <w:rPr/>
        <w:t>""</w:t>
      </w:r>
      <w:r>
        <w:rPr/>
        <w:t>宜</w:t>
      </w:r>
      <w:r>
        <w:rPr/>
        <w:t>"</w:t>
      </w:r>
      <w:r>
        <w:rPr/>
        <w:t>等措辞标注。</w:t>
      </w:r>
    </w:p>
    <w:p>
      <w:pPr>
        <w:pStyle w:val="Normal"/>
        <w:rPr/>
      </w:pPr>
      <w:r>
        <w:rPr/>
        <w:t xml:space="preserve">凡涉及卷期页码未能完全核实的条目，参考文献中仅提供 </w:t>
      </w:r>
      <w:r>
        <w:rPr/>
        <w:t xml:space="preserve">DOI </w:t>
      </w:r>
      <w:r>
        <w:rPr/>
        <w:t>或来源链接，不作补全，以杜绝虚构。</w:t>
      </w:r>
    </w:p>
    <w:p>
      <w:pPr>
        <w:pStyle w:val="Normal"/>
        <w:pBdr>
          <w:bottom w:val="single" w:sz="8" w:space="0" w:color="020201"/>
        </w:pBdr>
        <w:rPr/>
      </w:pPr>
      <w:r>
        <w:rPr/>
      </w:r>
    </w:p>
    <w:p>
      <w:pPr>
        <w:pStyle w:val="2"/>
        <w:rPr/>
      </w:pPr>
      <w:r>
        <w:rPr/>
        <w:t xml:space="preserve">3. </w:t>
      </w:r>
      <w:r>
        <w:rPr/>
        <w:t>双向影响的概念模型</w:t>
      </w:r>
    </w:p>
    <w:p>
      <w:pPr>
        <w:pStyle w:val="3"/>
        <w:rPr/>
      </w:pPr>
      <w:r>
        <w:rPr/>
        <w:t xml:space="preserve">3.1 </w:t>
      </w:r>
      <w:r>
        <w:rPr/>
        <w:t>理论坐标：从</w:t>
      </w:r>
      <w:r>
        <w:rPr/>
        <w:t>"</w:t>
      </w:r>
      <w:r>
        <w:rPr/>
        <w:t>缺陷修补</w:t>
      </w:r>
      <w:r>
        <w:rPr/>
        <w:t>"</w:t>
      </w:r>
      <w:r>
        <w:rPr/>
        <w:t>到</w:t>
      </w:r>
      <w:r>
        <w:rPr/>
        <w:t>"</w:t>
      </w:r>
      <w:r>
        <w:rPr/>
        <w:t>参与建构</w:t>
      </w:r>
      <w:r>
        <w:rPr/>
        <w:t>"</w:t>
      </w:r>
    </w:p>
    <w:p>
      <w:pPr>
        <w:pStyle w:val="Normal"/>
        <w:rPr/>
      </w:pPr>
      <w:r>
        <w:rPr/>
        <w:t>理解康复与学习的关系，需要先行确定理论坐标。二十世纪中后期主导的医学模型将障碍定位于个体内部的损伤，干预因此被理解为</w:t>
      </w:r>
      <w:r>
        <w:rPr/>
        <w:t>"</w:t>
      </w:r>
      <w:r>
        <w:rPr/>
        <w:t>修补缺陷</w:t>
      </w:r>
      <w:r>
        <w:rPr/>
        <w:t>"</w:t>
      </w:r>
      <w:r>
        <w:rPr/>
        <w:t>，康复与教育自然地分属修补的不同工序。</w:t>
      </w:r>
      <w:r>
        <w:rPr/>
        <w:t xml:space="preserve">ICF-CY </w:t>
      </w:r>
      <w:r>
        <w:rPr/>
        <w:t>与《残疾人权利公约》（</w:t>
      </w:r>
      <w:r>
        <w:rPr/>
        <w:t>Convention on the Rights of Persons with Disabilities, CRPD</w:t>
      </w:r>
      <w:r>
        <w:rPr/>
        <w:t>）所确立的社会—权利模型则把障碍重新界定为个体功能状态与环境支持之间不匹配的结果。</w:t>
      </w:r>
    </w:p>
    <w:p>
      <w:pPr>
        <w:pStyle w:val="Normal"/>
        <w:rPr/>
      </w:pPr>
      <w:r>
        <w:rPr/>
        <w:t>这一转向对本文具有决定性意义：</w:t>
      </w:r>
      <w:r>
        <w:rPr>
          <w:b/>
        </w:rPr>
        <w:t>如果障碍产生于个体与环境的交互界面，那么</w:t>
      </w:r>
      <w:r>
        <w:rPr>
          <w:b/>
        </w:rPr>
        <w:t>"</w:t>
      </w:r>
      <w:r>
        <w:rPr>
          <w:b/>
        </w:rPr>
        <w:t>康复</w:t>
      </w:r>
      <w:r>
        <w:rPr>
          <w:b/>
        </w:rPr>
        <w:t>"</w:t>
      </w:r>
      <w:r>
        <w:rPr>
          <w:b/>
        </w:rPr>
        <w:t>与</w:t>
      </w:r>
      <w:r>
        <w:rPr>
          <w:b/>
        </w:rPr>
        <w:t>"</w:t>
      </w:r>
      <w:r>
        <w:rPr>
          <w:b/>
        </w:rPr>
        <w:t>教育</w:t>
      </w:r>
      <w:r>
        <w:rPr>
          <w:b/>
        </w:rPr>
        <w:t>"</w:t>
      </w:r>
      <w:r>
        <w:rPr>
          <w:b/>
        </w:rPr>
        <w:t>就不再是可分离的两道工序，而是同一交互界面的两种调节方式。</w:t>
      </w:r>
      <w:r>
        <w:rPr/>
        <w:t xml:space="preserve"> 康复调节的是个体一侧的能力基础，教育调节的是环境一侧的要求与支持结构；二者若不同步，交互界面的失配将反复再生产。</w:t>
      </w:r>
    </w:p>
    <w:p>
      <w:pPr>
        <w:pStyle w:val="Normal"/>
        <w:rPr/>
      </w:pPr>
      <w:r>
        <w:rPr/>
        <w:t xml:space="preserve">世界卫生组织、联合国儿童基金会与世界银行集团于 </w:t>
      </w:r>
      <w:r>
        <w:rPr/>
        <w:t xml:space="preserve">2018 </w:t>
      </w:r>
      <w:r>
        <w:rPr/>
        <w:t>年联合发布的《养育照护框架》（</w:t>
      </w:r>
      <w:r>
        <w:rPr/>
        <w:t>Nurturing Care Framework</w:t>
      </w:r>
      <w:r>
        <w:rPr/>
        <w:t>）进一步提供了过程性的坐标：该框架将良好健康、充足营养、安全保障、回应性照护与早期学习机会列为不可分割的五个组成部分。值得注意的是，框架把</w:t>
      </w:r>
      <w:r>
        <w:rPr/>
        <w:t>"</w:t>
      </w:r>
      <w:r>
        <w:rPr/>
        <w:t>早期学习机会</w:t>
      </w:r>
      <w:r>
        <w:rPr/>
        <w:t>"</w:t>
      </w:r>
      <w:r>
        <w:rPr/>
        <w:t>与</w:t>
      </w:r>
      <w:r>
        <w:rPr/>
        <w:t>"</w:t>
      </w:r>
      <w:r>
        <w:rPr/>
        <w:t>回应性照护</w:t>
      </w:r>
      <w:r>
        <w:rPr/>
        <w:t>"</w:t>
      </w:r>
      <w:r>
        <w:rPr/>
        <w:t>并列而非分离——这提示</w:t>
      </w:r>
      <w:r>
        <w:rPr/>
        <w:t>"</w:t>
      </w:r>
      <w:r>
        <w:rPr/>
        <w:t>学习</w:t>
      </w:r>
      <w:r>
        <w:rPr/>
        <w:t>"</w:t>
      </w:r>
      <w:r>
        <w:rPr/>
        <w:t>并非健康与照护之后的下一阶段，而是与照护同步发生的过程。本文的模型正是在这一坐标上展开。</w:t>
      </w:r>
    </w:p>
    <w:p>
      <w:pPr>
        <w:pStyle w:val="3"/>
        <w:rPr/>
      </w:pPr>
      <w:r>
        <w:rPr/>
        <w:t xml:space="preserve">3.2 </w:t>
      </w:r>
      <w:r>
        <w:rPr/>
        <w:t xml:space="preserve">路径 </w:t>
      </w:r>
      <w:r>
        <w:rPr/>
        <w:t>A</w:t>
      </w:r>
      <w:r>
        <w:rPr/>
        <w:t>：康复对学习的自下而上作用</w:t>
      </w:r>
    </w:p>
    <w:p>
      <w:pPr>
        <w:pStyle w:val="Normal"/>
        <w:rPr/>
      </w:pPr>
      <w:r>
        <w:rPr/>
        <w:t>康复训练对学习结果的贡献，可分解为五条相对独立而又相互支撑的中介路径。</w:t>
      </w:r>
    </w:p>
    <w:p>
      <w:pPr>
        <w:pStyle w:val="Normal"/>
        <w:rPr/>
      </w:pPr>
      <w:r>
        <w:rPr>
          <w:b/>
        </w:rPr>
        <w:t>（</w:t>
      </w:r>
      <w:r>
        <w:rPr>
          <w:b/>
        </w:rPr>
        <w:t>1</w:t>
      </w:r>
      <w:r>
        <w:rPr>
          <w:b/>
        </w:rPr>
        <w:t>）感觉调节路径。</w:t>
      </w:r>
      <w:r>
        <w:rPr/>
        <w:t xml:space="preserve"> 感觉过度反应或低反应会直接压缩儿童在教室情境中能够耐受的刺激窗口。噪声、触碰、光线与人群密度所引发的生理性警觉，使儿童无法进入接收信息的状态。因此，感觉调节能力并非与学业并列的一项技能，而是学习活动得以发生的前置条件。当该能力不足且环境未提供缓冲（如安静角、降噪耳机、可退出的空间）时，儿童在课堂中的</w:t>
      </w:r>
      <w:r>
        <w:rPr/>
        <w:t>"</w:t>
      </w:r>
      <w:r>
        <w:rPr/>
        <w:t>不参与</w:t>
      </w:r>
      <w:r>
        <w:rPr/>
        <w:t>"</w:t>
      </w:r>
      <w:r>
        <w:rPr/>
        <w:t>常被误读为动机或纪律问题。</w:t>
      </w:r>
    </w:p>
    <w:p>
      <w:pPr>
        <w:pStyle w:val="Normal"/>
        <w:rPr/>
      </w:pPr>
      <w:r>
        <w:rPr>
          <w:b/>
        </w:rPr>
        <w:t>（</w:t>
      </w:r>
      <w:r>
        <w:rPr>
          <w:b/>
        </w:rPr>
        <w:t>2</w:t>
      </w:r>
      <w:r>
        <w:rPr>
          <w:b/>
        </w:rPr>
        <w:t>）姿势与动作路径。</w:t>
      </w:r>
      <w:r>
        <w:rPr/>
        <w:t xml:space="preserve"> 躯干稳定与姿势控制支撑持续的坐姿参与，精细动作与手眼协调支撑书写、操作与自理。不仅如此，动作发展与语言发展之间存在跨领域的纵向关联：</w:t>
      </w:r>
      <w:r>
        <w:rPr/>
        <w:t>Bedford</w:t>
      </w:r>
      <w:r>
        <w:rPr/>
        <w:t>、</w:t>
      </w:r>
      <w:r>
        <w:rPr/>
        <w:t xml:space="preserve">Pickles </w:t>
      </w:r>
      <w:r>
        <w:rPr/>
        <w:t xml:space="preserve">与 </w:t>
      </w:r>
      <w:r>
        <w:rPr/>
        <w:t>Lord</w:t>
      </w:r>
      <w:r>
        <w:rPr/>
        <w:t>（</w:t>
      </w:r>
      <w:r>
        <w:rPr/>
        <w:t>2016</w:t>
      </w:r>
      <w:r>
        <w:rPr/>
        <w:t xml:space="preserve">）在 </w:t>
      </w:r>
      <w:r>
        <w:rPr/>
        <w:t xml:space="preserve">ASD </w:t>
      </w:r>
      <w:r>
        <w:rPr/>
        <w:t>儿童队列中发现，早期粗大动作能力可预测其后语言发展的速率，提示动作并非语言的平行领域，而可能构成其后发展的基础之一。</w:t>
      </w:r>
    </w:p>
    <w:p>
      <w:pPr>
        <w:pStyle w:val="Normal"/>
        <w:rPr/>
      </w:pPr>
      <w:r>
        <w:rPr>
          <w:b/>
        </w:rPr>
        <w:t>（</w:t>
      </w:r>
      <w:r>
        <w:rPr>
          <w:b/>
        </w:rPr>
        <w:t>3</w:t>
      </w:r>
      <w:r>
        <w:rPr>
          <w:b/>
        </w:rPr>
        <w:t>）共同注意与社会参照路径。</w:t>
      </w:r>
      <w:r>
        <w:rPr/>
        <w:t xml:space="preserve"> 共同注意是</w:t>
      </w:r>
      <w:r>
        <w:rPr/>
        <w:t>"</w:t>
      </w:r>
      <w:r>
        <w:rPr/>
        <w:t>从他人处学习</w:t>
      </w:r>
      <w:r>
        <w:rPr/>
        <w:t>"</w:t>
      </w:r>
      <w:r>
        <w:rPr/>
        <w:t>的入口。缺乏共同注意的儿童，即便具备足够的感知与记忆能力，也难以采择课堂中大量以示范、指向与眼神传递为载体的教学信息。这一路径因此是康复通向学习的关键枢纽。</w:t>
      </w:r>
    </w:p>
    <w:p>
      <w:pPr>
        <w:pStyle w:val="Normal"/>
        <w:rPr/>
      </w:pPr>
      <w:r>
        <w:rPr>
          <w:b/>
        </w:rPr>
        <w:t>（</w:t>
      </w:r>
      <w:r>
        <w:rPr>
          <w:b/>
        </w:rPr>
        <w:t>4</w:t>
      </w:r>
      <w:r>
        <w:rPr>
          <w:b/>
        </w:rPr>
        <w:t>）语言理解路径。</w:t>
      </w:r>
      <w:r>
        <w:rPr/>
        <w:t xml:space="preserve"> 在预测长期学业与社会适应方面，语言理解的作用较语言表达更为稳定。</w:t>
      </w:r>
      <w:r>
        <w:rPr/>
        <w:t>Pickles</w:t>
      </w:r>
      <w:r>
        <w:rPr/>
        <w:t>、</w:t>
      </w:r>
      <w:r>
        <w:rPr/>
        <w:t xml:space="preserve">Anderson </w:t>
      </w:r>
      <w:r>
        <w:rPr/>
        <w:t xml:space="preserve">与 </w:t>
      </w:r>
      <w:r>
        <w:rPr/>
        <w:t>Lord</w:t>
      </w:r>
      <w:r>
        <w:rPr/>
        <w:t>（</w:t>
      </w:r>
      <w:r>
        <w:rPr/>
        <w:t>2014</w:t>
      </w:r>
      <w:r>
        <w:rPr/>
        <w:t xml:space="preserve">）对早期因疑似孤独症而转介的儿童进行自 </w:t>
      </w:r>
      <w:r>
        <w:rPr/>
        <w:t xml:space="preserve">2 </w:t>
      </w:r>
      <w:r>
        <w:rPr/>
        <w:t xml:space="preserve">岁至 </w:t>
      </w:r>
      <w:r>
        <w:rPr/>
        <w:t xml:space="preserve">19 </w:t>
      </w:r>
      <w:r>
        <w:rPr/>
        <w:t xml:space="preserve">岁、历时 </w:t>
      </w:r>
      <w:r>
        <w:rPr/>
        <w:t xml:space="preserve">17 </w:t>
      </w:r>
      <w:r>
        <w:rPr/>
        <w:t xml:space="preserve">年的追踪，结果显示 </w:t>
      </w:r>
      <w:r>
        <w:rPr/>
        <w:t xml:space="preserve">2 </w:t>
      </w:r>
      <w:r>
        <w:rPr/>
        <w:t xml:space="preserve">至 </w:t>
      </w:r>
      <w:r>
        <w:rPr/>
        <w:t xml:space="preserve">6 </w:t>
      </w:r>
      <w:r>
        <w:rPr/>
        <w:t>岁期间语言发展轨迹的离散度最大，此后的相对位置趋于稳定。这一发现为</w:t>
      </w:r>
      <w:r>
        <w:rPr/>
        <w:t>"</w:t>
      </w:r>
      <w:r>
        <w:rPr/>
        <w:t>早期</w:t>
      </w:r>
      <w:r>
        <w:rPr/>
        <w:t>"</w:t>
      </w:r>
      <w:r>
        <w:rPr/>
        <w:t>二字提供了发展学依据：</w:t>
      </w:r>
      <w:r>
        <w:rPr>
          <w:b/>
        </w:rPr>
        <w:t>早期干预的价值在于作用于可塑性最高的窗口期，而非单纯把干预时间提前。</w:t>
      </w:r>
    </w:p>
    <w:p>
      <w:pPr>
        <w:pStyle w:val="Normal"/>
        <w:rPr/>
      </w:pPr>
      <w:r>
        <w:rPr>
          <w:b/>
        </w:rPr>
        <w:t>（</w:t>
      </w:r>
      <w:r>
        <w:rPr>
          <w:b/>
        </w:rPr>
        <w:t>5</w:t>
      </w:r>
      <w:r>
        <w:rPr>
          <w:b/>
        </w:rPr>
        <w:t>）执行功能与情绪调节路径。</w:t>
      </w:r>
      <w:r>
        <w:rPr/>
        <w:t xml:space="preserve"> 抑制控制、工作记忆与认知灵活性决定儿童能否遵守轮流、等待与规则；情绪调节失败则直接转化为课堂中的行为事件，进而触发隔离、惩罚或要求降级，反过来削减学习机会。</w:t>
      </w:r>
    </w:p>
    <w:p>
      <w:pPr>
        <w:pStyle w:val="Normal"/>
        <w:rPr/>
      </w:pPr>
      <w:r>
        <w:rPr/>
        <w:t>五条路径共享一个结构：康复训练作用于</w:t>
      </w:r>
      <w:r>
        <w:rPr>
          <w:b/>
        </w:rPr>
        <w:t>学习准备度</w:t>
      </w:r>
      <w:r>
        <w:rPr/>
        <w:t>这一潜变量，再经由课堂参与的中介，转化为学习结果。任一环节缺失，康复的直接效果都难以传导至学业与社会性结局。</w:t>
      </w:r>
    </w:p>
    <w:p>
      <w:pPr>
        <w:pStyle w:val="3"/>
        <w:rPr/>
      </w:pPr>
      <w:r>
        <w:rPr/>
        <w:t xml:space="preserve">3.3 </w:t>
      </w:r>
      <w:r>
        <w:rPr/>
        <w:t xml:space="preserve">路径 </w:t>
      </w:r>
      <w:r>
        <w:rPr/>
        <w:t>B</w:t>
      </w:r>
      <w:r>
        <w:rPr/>
        <w:t>：特教学习对康复的自上而下作用</w:t>
      </w:r>
    </w:p>
    <w:p>
      <w:pPr>
        <w:pStyle w:val="Normal"/>
        <w:rPr/>
      </w:pPr>
      <w:r>
        <w:rPr/>
        <w:t>特教学习并非被动接收康复成果的容器。它以三种机制反向作用于康复过程。</w:t>
      </w:r>
    </w:p>
    <w:p>
      <w:pPr>
        <w:pStyle w:val="Normal"/>
        <w:rPr/>
      </w:pPr>
      <w:r>
        <w:rPr>
          <w:b/>
        </w:rPr>
        <w:t>（</w:t>
      </w:r>
      <w:r>
        <w:rPr>
          <w:b/>
        </w:rPr>
        <w:t>1</w:t>
      </w:r>
      <w:r>
        <w:rPr>
          <w:b/>
        </w:rPr>
        <w:t>）情境密度机制。</w:t>
      </w:r>
      <w:r>
        <w:rPr/>
        <w:t xml:space="preserve"> 治疗室中每周数小时的高结构训练，在剂量上远低于儿童在园所中每日数小时的清醒时间。结构化课堂因此提供了数量级更大的自然练习机会（</w:t>
      </w:r>
      <w:r>
        <w:rPr/>
        <w:t>learning trials</w:t>
      </w:r>
      <w:r>
        <w:rPr/>
        <w:t>），是康复技能得以被反复调用与巩固的场所。</w:t>
      </w:r>
      <w:r>
        <w:rPr/>
        <w:t xml:space="preserve">Roberts </w:t>
      </w:r>
      <w:r>
        <w:rPr/>
        <w:t xml:space="preserve">与 </w:t>
      </w:r>
      <w:r>
        <w:rPr/>
        <w:t>Kaiser</w:t>
      </w:r>
      <w:r>
        <w:rPr/>
        <w:t>（</w:t>
      </w:r>
      <w:r>
        <w:rPr/>
        <w:t>2015</w:t>
      </w:r>
      <w:r>
        <w:rPr/>
        <w:t>）针对语言迟缓幼儿的随机对照试验表明，由经过训练的实施者在日常互动中嵌入语言促进策略，可显著改善儿童的语言结局——该结果支持</w:t>
      </w:r>
      <w:r>
        <w:rPr/>
        <w:t>"</w:t>
      </w:r>
      <w:r>
        <w:rPr/>
        <w:t>练习机会的分布方式</w:t>
      </w:r>
      <w:r>
        <w:rPr/>
        <w:t>"</w:t>
      </w:r>
      <w:r>
        <w:rPr/>
        <w:t>而非</w:t>
      </w:r>
      <w:r>
        <w:rPr/>
        <w:t>"</w:t>
      </w:r>
      <w:r>
        <w:rPr/>
        <w:t>单次训练的强度</w:t>
      </w:r>
      <w:r>
        <w:rPr/>
        <w:t>"</w:t>
      </w:r>
      <w:r>
        <w:rPr/>
        <w:t>是疗效的关键约束这一判断。</w:t>
      </w:r>
    </w:p>
    <w:p>
      <w:pPr>
        <w:pStyle w:val="Normal"/>
        <w:rPr/>
      </w:pPr>
      <w:r>
        <w:rPr>
          <w:b/>
        </w:rPr>
        <w:t>（</w:t>
      </w:r>
      <w:r>
        <w:rPr>
          <w:b/>
        </w:rPr>
        <w:t>2</w:t>
      </w:r>
      <w:r>
        <w:rPr>
          <w:b/>
        </w:rPr>
        <w:t>）动机与自我效能机制。</w:t>
      </w:r>
      <w:r>
        <w:rPr/>
        <w:t xml:space="preserve"> 在自然情境中获得的成功经验会提升儿童的主动性与尝试意愿，减少逃避与抗拒；反之，当任务难度长期超出儿童的能力区间，</w:t>
      </w:r>
      <w:r>
        <w:rPr/>
        <w:t>"</w:t>
      </w:r>
      <w:r>
        <w:rPr/>
        <w:t>尝试—失败—逃避</w:t>
      </w:r>
      <w:r>
        <w:rPr/>
        <w:t>"</w:t>
      </w:r>
      <w:r>
        <w:rPr/>
        <w:t>的链条将被负强化不断加固，最终表现为对康复本身的抗拒。</w:t>
      </w:r>
    </w:p>
    <w:p>
      <w:pPr>
        <w:pStyle w:val="Normal"/>
        <w:rPr/>
      </w:pPr>
      <w:r>
        <w:rPr>
          <w:b/>
        </w:rPr>
        <w:t>（</w:t>
      </w:r>
      <w:r>
        <w:rPr>
          <w:b/>
        </w:rPr>
        <w:t>3</w:t>
      </w:r>
      <w:r>
        <w:rPr>
          <w:b/>
        </w:rPr>
        <w:t>）泛化与维持机制。</w:t>
      </w:r>
      <w:r>
        <w:rPr/>
        <w:t xml:space="preserve"> 技能泛化从来不是自动发生的，它需要在多种情境、由多位成人、以多种材料进行的系统性安排。这一机制是路径 </w:t>
      </w:r>
      <w:r>
        <w:rPr/>
        <w:t xml:space="preserve">B </w:t>
      </w:r>
      <w:r>
        <w:rPr/>
        <w:t>中最具理论重要性、也最容易被实践忽视的一环。</w:t>
      </w:r>
    </w:p>
    <w:p>
      <w:pPr>
        <w:pStyle w:val="Normal"/>
        <w:rPr/>
      </w:pPr>
      <w:r>
        <w:rPr/>
        <w:t>关于家长介导干预的证据，此处需要一次必要的澄清。</w:t>
      </w:r>
      <w:r>
        <w:rPr/>
        <w:t>Oono</w:t>
      </w:r>
      <w:r>
        <w:rPr/>
        <w:t>、</w:t>
      </w:r>
      <w:r>
        <w:rPr/>
        <w:t xml:space="preserve">Honey </w:t>
      </w:r>
      <w:r>
        <w:rPr/>
        <w:t xml:space="preserve">与 </w:t>
      </w:r>
      <w:r>
        <w:rPr/>
        <w:t>McConachie</w:t>
      </w:r>
      <w:r>
        <w:rPr/>
        <w:t>（</w:t>
      </w:r>
      <w:r>
        <w:rPr/>
        <w:t>2013</w:t>
      </w:r>
      <w:r>
        <w:rPr/>
        <w:t xml:space="preserve">）的 </w:t>
      </w:r>
      <w:r>
        <w:rPr/>
        <w:t xml:space="preserve">Cochrane </w:t>
      </w:r>
      <w:r>
        <w:rPr/>
        <w:t xml:space="preserve">系统综述纳入 </w:t>
      </w:r>
      <w:r>
        <w:rPr/>
        <w:t xml:space="preserve">17 </w:t>
      </w:r>
      <w:r>
        <w:rPr/>
        <w:t xml:space="preserve">项随机对照试验、共 </w:t>
      </w:r>
      <w:r>
        <w:rPr/>
        <w:t xml:space="preserve">919 </w:t>
      </w:r>
      <w:r>
        <w:rPr/>
        <w:t xml:space="preserve">名 </w:t>
      </w:r>
      <w:r>
        <w:rPr/>
        <w:t xml:space="preserve">ASD </w:t>
      </w:r>
      <w:r>
        <w:rPr/>
        <w:t>儿童，结果显示：家长介导干预在多数儿童直接结局（语言与沟通、适应行为、儿童主动发起等）上未获得一致的统计学证据，但在</w:t>
      </w:r>
      <w:r>
        <w:rPr>
          <w:b/>
        </w:rPr>
        <w:t>亲子互动模式</w:t>
      </w:r>
      <w:r>
        <w:rPr/>
        <w:t xml:space="preserve">上获得了强而显著的改善——共同注意标准化均数差为 </w:t>
      </w:r>
      <w:r>
        <w:rPr/>
        <w:t>0.41</w:t>
      </w:r>
      <w:r>
        <w:rPr/>
        <w:t>（</w:t>
      </w:r>
      <w:r>
        <w:rPr/>
        <w:t>95% CI [0.14, 0.68]</w:t>
      </w:r>
      <w:r>
        <w:rPr/>
        <w:t xml:space="preserve">），亲子同步性为 </w:t>
      </w:r>
      <w:r>
        <w:rPr/>
        <w:t>0.90</w:t>
      </w:r>
      <w:r>
        <w:rPr/>
        <w:t>（</w:t>
      </w:r>
      <w:r>
        <w:rPr/>
        <w:t>95% CI [0.56, 1.23]</w:t>
      </w:r>
      <w:r>
        <w:rPr/>
        <w:t>）。</w:t>
      </w:r>
      <w:r>
        <w:rPr/>
        <w:t>Nevill</w:t>
      </w:r>
      <w:r>
        <w:rPr/>
        <w:t>、</w:t>
      </w:r>
      <w:r>
        <w:rPr/>
        <w:t xml:space="preserve">Lecavalier </w:t>
      </w:r>
      <w:r>
        <w:rPr/>
        <w:t xml:space="preserve">与 </w:t>
      </w:r>
      <w:r>
        <w:rPr/>
        <w:t>Stratis</w:t>
      </w:r>
      <w:r>
        <w:rPr/>
        <w:t>（</w:t>
      </w:r>
      <w:r>
        <w:rPr/>
        <w:t>2018</w:t>
      </w:r>
      <w:r>
        <w:rPr/>
        <w:t xml:space="preserve">）对 </w:t>
      </w:r>
      <w:r>
        <w:rPr/>
        <w:t xml:space="preserve">19 </w:t>
      </w:r>
      <w:r>
        <w:rPr/>
        <w:t>项随机对照试验的荟萃分析亦指向相近的结论结构。</w:t>
      </w:r>
    </w:p>
    <w:p>
      <w:pPr>
        <w:pStyle w:val="Normal"/>
        <w:rPr/>
      </w:pPr>
      <w:r>
        <w:rPr/>
        <w:t>这组证据常被误读为</w:t>
      </w:r>
      <w:r>
        <w:rPr/>
        <w:t>"</w:t>
      </w:r>
      <w:r>
        <w:rPr/>
        <w:t>家长培训无效</w:t>
      </w:r>
      <w:r>
        <w:rPr/>
        <w:t>"</w:t>
      </w:r>
      <w:r>
        <w:rPr/>
        <w:t>。本文认为恰相反：它精确地指出了家长培训的</w:t>
      </w:r>
      <w:r>
        <w:rPr>
          <w:b/>
        </w:rPr>
        <w:t>近端靶点是互动质量本身</w:t>
      </w:r>
      <w:r>
        <w:rPr/>
        <w:t>，儿童技能的改变是经由互动生态变化而实现的下游结果。其政策含义有二：一方面，家长培训的正当性应建立在</w:t>
      </w:r>
      <w:r>
        <w:rPr/>
        <w:t>"</w:t>
      </w:r>
      <w:r>
        <w:rPr/>
        <w:t>改变日常互动生态</w:t>
      </w:r>
      <w:r>
        <w:rPr/>
        <w:t>"</w:t>
      </w:r>
      <w:r>
        <w:rPr/>
        <w:t>之上，而非</w:t>
      </w:r>
      <w:r>
        <w:rPr/>
        <w:t>"</w:t>
      </w:r>
      <w:r>
        <w:rPr/>
        <w:t>以家长替代专业康复</w:t>
      </w:r>
      <w:r>
        <w:rPr/>
        <w:t>"</w:t>
      </w:r>
      <w:r>
        <w:rPr/>
        <w:t>；另一方面，将后者作为宣传口径既缺乏证据支持，也会在资源不足地区被曲解为削减专业服务的理由，此点尤须警惕。</w:t>
      </w:r>
    </w:p>
    <w:p>
      <w:pPr>
        <w:pStyle w:val="3"/>
        <w:rPr/>
      </w:pPr>
      <w:r>
        <w:rPr/>
        <w:t xml:space="preserve">3.4 </w:t>
      </w:r>
      <w:r>
        <w:rPr/>
        <w:t>双向回路：正反馈与负反馈</w:t>
      </w:r>
    </w:p>
    <w:p>
      <w:pPr>
        <w:pStyle w:val="Normal"/>
        <w:rPr/>
      </w:pPr>
      <w:r>
        <w:rPr/>
        <w:t>将上述两条路径闭合，可得到方向相反的两个回路。</w:t>
      </w:r>
    </w:p>
    <w:p>
      <w:pPr>
        <w:pStyle w:val="Normal"/>
        <w:rPr/>
      </w:pPr>
      <w:r>
        <w:rPr>
          <w:b/>
        </w:rPr>
        <w:t>正反馈回路</w:t>
      </w:r>
      <w:r>
        <w:rPr/>
        <w:t>的序列为：康复改善基础能力 → 课堂参与获得成功 → 动机与练习机会增加 → 技能泛化与维持得以实现 → 基础能力进一步改善。</w:t>
      </w:r>
    </w:p>
    <w:p>
      <w:pPr>
        <w:pStyle w:val="Normal"/>
        <w:rPr/>
      </w:pPr>
      <w:r>
        <w:rPr>
          <w:b/>
        </w:rPr>
        <w:t>负反馈回路</w:t>
      </w:r>
      <w:r>
        <w:rPr/>
        <w:t>的序列为：基础能力不足 → 学习任务导致挫败 → 情绪行为问题出现 → 被隔离、被惩罚或被降低要求 → 练习机会减少 → 能力进一步滞后。</w:t>
      </w:r>
    </w:p>
    <w:p>
      <w:pPr>
        <w:pStyle w:val="Normal"/>
        <w:rPr/>
      </w:pPr>
      <w:r>
        <w:rPr/>
        <w:t>决定回路走向的分岔点有两个：</w:t>
      </w:r>
      <w:r>
        <w:rPr>
          <w:b/>
        </w:rPr>
        <w:t>任务与能力的匹配度</w:t>
      </w:r>
      <w:r>
        <w:rPr/>
        <w:t>，以及</w:t>
      </w:r>
      <w:r>
        <w:rPr>
          <w:b/>
        </w:rPr>
        <w:t>环境是否提供补偿性支持</w:t>
      </w:r>
      <w:r>
        <w:rPr/>
        <w:t>。当环境提供视觉日程、分段任务、感觉缓冲区等补偿性安排时，能力水平相同的儿童可能落在正回路上；缺少此类补偿时则落入负回路。这解释了为何诊断相同、认知水平相近的儿童在不同教育安置中结局差异悬殊——差异不在儿童身上，而在环境的补偿程度。</w:t>
      </w:r>
    </w:p>
    <w:p>
      <w:pPr>
        <w:pStyle w:val="3"/>
        <w:rPr/>
      </w:pPr>
      <w:r>
        <w:rPr/>
        <w:t xml:space="preserve">3.5 </w:t>
      </w:r>
      <w:r>
        <w:rPr/>
        <w:t>核心调节构念：情境共享度</w:t>
      </w:r>
    </w:p>
    <w:p>
      <w:pPr>
        <w:pStyle w:val="Normal"/>
        <w:rPr/>
      </w:pPr>
      <w:r>
        <w:rPr/>
        <w:t>综合上述分析，本文提出：被制度真正调节的变量，不是</w:t>
      </w:r>
      <w:r>
        <w:rPr/>
        <w:t>"</w:t>
      </w:r>
      <w:r>
        <w:rPr/>
        <w:t>是否提供了康复</w:t>
      </w:r>
      <w:r>
        <w:rPr/>
        <w:t>"</w:t>
      </w:r>
      <w:r>
        <w:rPr/>
        <w:t>，而是</w:t>
      </w:r>
      <w:r>
        <w:rPr>
          <w:b/>
        </w:rPr>
        <w:t>情境共享度</w:t>
      </w:r>
      <w:r>
        <w:rPr/>
        <w:t>（</w:t>
      </w:r>
      <w:r>
        <w:rPr/>
        <w:t>contextual embeddedness</w:t>
      </w:r>
      <w:r>
        <w:rPr/>
        <w:t>），即康复目标与学习目标是否在同一情境、由同一批成人、依据同一份计划加以执行。该构念可操作化为四个观测指标：</w:t>
      </w:r>
    </w:p>
    <w:p>
      <w:pPr>
        <w:pStyle w:val="Normal"/>
        <w:numPr>
          <w:ilvl w:val="0"/>
          <w:numId w:val="2"/>
        </w:numPr>
        <w:rPr/>
      </w:pPr>
      <w:r>
        <w:rPr>
          <w:b/>
        </w:rPr>
        <w:t>目标同源性</w:t>
      </w:r>
      <w:r>
        <w:rPr/>
        <w:t>——儿童的个别化计划中，康复目标与学习目标是否由同一团队共同拟定并排序；</w:t>
      </w:r>
    </w:p>
    <w:p>
      <w:pPr>
        <w:pStyle w:val="Normal"/>
        <w:numPr>
          <w:ilvl w:val="0"/>
          <w:numId w:val="2"/>
        </w:numPr>
        <w:rPr/>
      </w:pPr>
      <w:r>
        <w:rPr>
          <w:b/>
        </w:rPr>
        <w:t>执行同一性</w:t>
      </w:r>
      <w:r>
        <w:rPr/>
        <w:t>——日常情境中实际引导幼儿练习的成人，是否理解并能够执行康复策略；</w:t>
      </w:r>
    </w:p>
    <w:p>
      <w:pPr>
        <w:pStyle w:val="Normal"/>
        <w:numPr>
          <w:ilvl w:val="0"/>
          <w:numId w:val="2"/>
        </w:numPr>
        <w:rPr/>
      </w:pPr>
      <w:r>
        <w:rPr>
          <w:b/>
        </w:rPr>
        <w:t>信息连续性</w:t>
      </w:r>
      <w:r>
        <w:rPr/>
        <w:t>——评估数据、进展记录与目标调整是否在康复与教育机构之间双向流动；</w:t>
      </w:r>
    </w:p>
    <w:p>
      <w:pPr>
        <w:pStyle w:val="Normal"/>
        <w:numPr>
          <w:ilvl w:val="0"/>
          <w:numId w:val="2"/>
        </w:numPr>
        <w:rPr/>
      </w:pPr>
      <w:r>
        <w:rPr>
          <w:b/>
        </w:rPr>
        <w:t>环境补偿性</w:t>
      </w:r>
      <w:r>
        <w:rPr/>
        <w:t>——课堂环境是否针对儿童的感觉、动作与注意特征作出了结构性调整。</w:t>
      </w:r>
    </w:p>
    <w:p>
      <w:pPr>
        <w:pStyle w:val="Normal"/>
        <w:rPr/>
      </w:pPr>
      <w:r>
        <w:rPr/>
        <w:t>四个指标中任一缺失，情境共享度即被削弱，技能迁移的损耗随之上升。此构念的价值在于，它把</w:t>
      </w:r>
      <w:r>
        <w:rPr/>
        <w:t>"</w:t>
      </w:r>
      <w:r>
        <w:rPr/>
        <w:t>医教结合</w:t>
      </w:r>
      <w:r>
        <w:rPr/>
        <w:t>"</w:t>
      </w:r>
      <w:r>
        <w:rPr/>
        <w:t>这一政策口号转化为可被测量、因而可被改进的对象。</w:t>
      </w:r>
    </w:p>
    <w:p>
      <w:pPr>
        <w:pStyle w:val="3"/>
        <w:rPr/>
      </w:pPr>
      <w:r>
        <w:rPr/>
        <w:t xml:space="preserve">3.6 </w:t>
      </w:r>
      <w:r>
        <w:rPr/>
        <w:t>待检验假设</w:t>
      </w:r>
    </w:p>
    <w:p>
      <w:pPr>
        <w:pStyle w:val="Normal"/>
        <w:rPr/>
      </w:pPr>
      <w:r>
        <w:rPr/>
        <w:t>为便于后续实证研究检验，本文将上述模型形式化为三项假设（</w:t>
      </w:r>
      <w:r>
        <w:rPr>
          <w:b/>
        </w:rPr>
        <w:t>假设，待检验</w:t>
      </w:r>
      <w:r>
        <w:rPr/>
        <w:t>）：</w:t>
      </w:r>
    </w:p>
    <w:p>
      <w:pPr>
        <w:pStyle w:val="Normal"/>
        <w:numPr>
          <w:ilvl w:val="0"/>
          <w:numId w:val="1"/>
        </w:numPr>
        <w:rPr/>
      </w:pPr>
      <w:r>
        <w:rPr>
          <w:b/>
        </w:rPr>
        <w:t>H1</w:t>
      </w:r>
      <w:r>
        <w:rPr/>
        <w:t>：在控制起始年龄、障碍类型与家庭社会经济地位后，情境共享度越高，康复训练对学习参与度的促进效应越大。</w:t>
      </w:r>
    </w:p>
    <w:p>
      <w:pPr>
        <w:pStyle w:val="Normal"/>
        <w:numPr>
          <w:ilvl w:val="0"/>
          <w:numId w:val="1"/>
        </w:numPr>
        <w:rPr/>
      </w:pPr>
      <w:r>
        <w:rPr>
          <w:b/>
        </w:rPr>
        <w:t>H2</w:t>
      </w:r>
      <w:r>
        <w:rPr/>
        <w:t>：家长介导干预对儿童结局的效应，部分经由亲子互动质量的变化而中介，而非直接作用于儿童能力。</w:t>
      </w:r>
    </w:p>
    <w:p>
      <w:pPr>
        <w:pStyle w:val="Normal"/>
        <w:numPr>
          <w:ilvl w:val="0"/>
          <w:numId w:val="1"/>
        </w:numPr>
        <w:rPr/>
      </w:pPr>
      <w:r>
        <w:rPr>
          <w:b/>
        </w:rPr>
        <w:t>H3</w:t>
      </w:r>
      <w:r>
        <w:rPr/>
        <w:t>：在专业人力资源受限的地区，提升情境共享度所带来的结局改善，其成本效益高于等比例增加治疗时数。</w:t>
      </w:r>
    </w:p>
    <w:p>
      <w:pPr>
        <w:pStyle w:val="Normal"/>
        <w:pBdr>
          <w:bottom w:val="single" w:sz="8" w:space="0" w:color="020201"/>
        </w:pBdr>
        <w:rPr/>
      </w:pPr>
      <w:r>
        <w:rPr/>
      </w:r>
    </w:p>
    <w:p>
      <w:pPr>
        <w:pStyle w:val="2"/>
        <w:rPr/>
      </w:pPr>
      <w:r>
        <w:rPr/>
        <w:t xml:space="preserve">4. </w:t>
      </w:r>
      <w:r>
        <w:rPr/>
        <w:t>四国政策与服务体系比较</w:t>
      </w:r>
    </w:p>
    <w:p>
      <w:pPr>
        <w:pStyle w:val="3"/>
        <w:rPr/>
      </w:pPr>
      <w:r>
        <w:rPr/>
        <w:t xml:space="preserve">4.1 </w:t>
      </w:r>
      <w:r>
        <w:rPr/>
        <w:t>共同的规范锚点：国际与区域框架</w:t>
      </w:r>
    </w:p>
    <w:p>
      <w:pPr>
        <w:pStyle w:val="Normal"/>
        <w:rPr/>
      </w:pPr>
      <w:r>
        <w:rPr/>
        <w:t xml:space="preserve">四国均为《残疾人权利公约》缔约国，但批准时间存在先后差异：中国于 </w:t>
      </w:r>
      <w:r>
        <w:rPr/>
        <w:t xml:space="preserve">2008 </w:t>
      </w:r>
      <w:r>
        <w:rPr/>
        <w:t xml:space="preserve">年批准，马来西亚于 </w:t>
      </w:r>
      <w:r>
        <w:rPr/>
        <w:t xml:space="preserve">2010 </w:t>
      </w:r>
      <w:r>
        <w:rPr/>
        <w:t xml:space="preserve">年批准，新加坡于 </w:t>
      </w:r>
      <w:r>
        <w:rPr/>
        <w:t xml:space="preserve">2013 </w:t>
      </w:r>
      <w:r>
        <w:rPr/>
        <w:t xml:space="preserve">年批准，文莱于 </w:t>
      </w:r>
      <w:r>
        <w:rPr/>
        <w:t xml:space="preserve">2016 </w:t>
      </w:r>
      <w:r>
        <w:rPr/>
        <w:t>年批准。批准时序本身并不等同于实施水平，但它为理解各国制度演进的起点提供了有用的背景：批准较早者，其国内立法与政策体系的调整过程相应更长。</w:t>
      </w:r>
    </w:p>
    <w:p>
      <w:pPr>
        <w:pStyle w:val="Normal"/>
        <w:rPr/>
      </w:pPr>
      <w:r>
        <w:rPr/>
        <w:t xml:space="preserve">在区域层面，东盟于 </w:t>
      </w:r>
      <w:r>
        <w:rPr/>
        <w:t xml:space="preserve">2018 </w:t>
      </w:r>
      <w:r>
        <w:rPr/>
        <w:t xml:space="preserve">年 </w:t>
      </w:r>
      <w:r>
        <w:rPr/>
        <w:t xml:space="preserve">11 </w:t>
      </w:r>
      <w:r>
        <w:rPr/>
        <w:t xml:space="preserve">月由成员国首脑会议通过、并于同年 </w:t>
      </w:r>
      <w:r>
        <w:rPr/>
        <w:t xml:space="preserve">12 </w:t>
      </w:r>
      <w:r>
        <w:rPr/>
        <w:t xml:space="preserve">月在曼谷正式发布《东盟 </w:t>
      </w:r>
      <w:r>
        <w:rPr/>
        <w:t xml:space="preserve">2025 </w:t>
      </w:r>
      <w:r>
        <w:rPr/>
        <w:t>年赋权总蓝图：将残疾人权利纳入主流》（</w:t>
      </w:r>
      <w:r>
        <w:rPr/>
        <w:t>ASEAN Enabling Masterplan 2025</w:t>
      </w:r>
      <w:r>
        <w:rPr/>
        <w:t>）。该文件的意义在于其</w:t>
      </w:r>
      <w:r>
        <w:rPr>
          <w:b/>
        </w:rPr>
        <w:t>方法论立场</w:t>
      </w:r>
      <w:r>
        <w:rPr/>
        <w:t>：它明确宣示，融合与主流化应被优先推行，而专门化的、隔离式的服务路径只应作为最后手段加以考虑。这一立场对本文具有直接的规范含义——它从区域政策层面支持了</w:t>
      </w:r>
      <w:r>
        <w:rPr/>
        <w:t>"</w:t>
      </w:r>
      <w:r>
        <w:rPr/>
        <w:t>在普通教育环境中提供康复支持</w:t>
      </w:r>
      <w:r>
        <w:rPr/>
        <w:t>"</w:t>
      </w:r>
      <w:r>
        <w:rPr/>
        <w:t>优先于</w:t>
      </w:r>
      <w:r>
        <w:rPr/>
        <w:t>"</w:t>
      </w:r>
      <w:r>
        <w:rPr/>
        <w:t>将儿童抽离至专门机构</w:t>
      </w:r>
      <w:r>
        <w:rPr/>
        <w:t>"</w:t>
      </w:r>
      <w:r>
        <w:rPr/>
        <w:t>的判断。</w:t>
      </w:r>
    </w:p>
    <w:p>
      <w:pPr>
        <w:pStyle w:val="Normal"/>
        <w:rPr/>
      </w:pPr>
      <w:r>
        <w:rPr/>
        <w:t xml:space="preserve">此外，联合国可持续发展目标第 </w:t>
      </w:r>
      <w:r>
        <w:rPr/>
        <w:t xml:space="preserve">4 </w:t>
      </w:r>
      <w:r>
        <w:rPr/>
        <w:t>项（尤其关于包容与公平的优质教育及终身学习机会的具体目标），以及上文提及的《养育照护框架》，共同构成了四国政策话语的共享参照系。这一共享性是跨区域互鉴得以可能的规范基础。</w:t>
      </w:r>
    </w:p>
    <w:p>
      <w:pPr>
        <w:pStyle w:val="3"/>
        <w:rPr/>
      </w:pPr>
      <w:r>
        <w:rPr/>
        <w:t xml:space="preserve">4.2 </w:t>
      </w:r>
      <w:r>
        <w:rPr/>
        <w:t>中国：政策链条完整，衔接成本集中于部门界面</w:t>
      </w:r>
    </w:p>
    <w:p>
      <w:pPr>
        <w:pStyle w:val="Normal"/>
        <w:rPr/>
      </w:pPr>
      <w:r>
        <w:rPr>
          <w:b/>
        </w:rPr>
        <w:t>政策支持度。</w:t>
      </w:r>
      <w:r>
        <w:rPr/>
        <w:t xml:space="preserve"> 中国已建立起覆盖筛查、救助、教育与康复的较完整政策链条。在救助制度方面，国务院于 </w:t>
      </w:r>
      <w:r>
        <w:rPr/>
        <w:t xml:space="preserve">2018 </w:t>
      </w:r>
      <w:r>
        <w:rPr/>
        <w:t>年印发《关于建立残疾儿童康复救助制度的意见》（国发〔</w:t>
      </w:r>
      <w:r>
        <w:rPr/>
        <w:t>2018</w:t>
      </w:r>
      <w:r>
        <w:rPr/>
        <w:t>〕</w:t>
      </w:r>
      <w:r>
        <w:rPr/>
        <w:t xml:space="preserve">20 </w:t>
      </w:r>
      <w:r>
        <w:rPr/>
        <w:t xml:space="preserve">号），自 </w:t>
      </w:r>
      <w:r>
        <w:rPr/>
        <w:t xml:space="preserve">2018 </w:t>
      </w:r>
      <w:r>
        <w:rPr/>
        <w:t xml:space="preserve">年 </w:t>
      </w:r>
      <w:r>
        <w:rPr/>
        <w:t xml:space="preserve">10 </w:t>
      </w:r>
      <w:r>
        <w:rPr/>
        <w:t xml:space="preserve">月起全面施行，将符合条件的 </w:t>
      </w:r>
      <w:r>
        <w:rPr/>
        <w:t xml:space="preserve">0–6 </w:t>
      </w:r>
      <w:r>
        <w:rPr/>
        <w:t xml:space="preserve">岁视力、听力、言语、肢体、智力残疾儿童及孤独症儿童纳入救助范围，并规定了申请、审核、救助与结算的标准化流程，要求县级以上地方人民政府将救助资金纳入预算并实行动态调整。在筛查与干预规范方面，国家卫生健康委办公厅于 </w:t>
      </w:r>
      <w:r>
        <w:rPr/>
        <w:t xml:space="preserve">2022 </w:t>
      </w:r>
      <w:r>
        <w:rPr/>
        <w:t>年印发《</w:t>
      </w:r>
      <w:r>
        <w:rPr/>
        <w:t>0</w:t>
      </w:r>
      <w:r>
        <w:rPr/>
        <w:t>～</w:t>
      </w:r>
      <w:r>
        <w:rPr/>
        <w:t xml:space="preserve">6 </w:t>
      </w:r>
      <w:r>
        <w:rPr/>
        <w:t>岁儿童孤独症筛查干预服务规范（试行）》（国卫办妇幼发〔</w:t>
      </w:r>
      <w:r>
        <w:rPr/>
        <w:t>2022</w:t>
      </w:r>
      <w:r>
        <w:rPr/>
        <w:t>〕</w:t>
      </w:r>
      <w:r>
        <w:rPr/>
        <w:t xml:space="preserve">12 </w:t>
      </w:r>
      <w:r>
        <w:rPr/>
        <w:t>号），确立了</w:t>
      </w:r>
      <w:r>
        <w:rPr/>
        <w:t>"</w:t>
      </w:r>
      <w:r>
        <w:rPr/>
        <w:t>乡级初筛—县级复筛—专业机构诊断康复</w:t>
      </w:r>
      <w:r>
        <w:rPr/>
        <w:t>"</w:t>
      </w:r>
      <w:r>
        <w:rPr/>
        <w:t xml:space="preserve">的三级服务网络，规定 </w:t>
      </w:r>
      <w:r>
        <w:rPr/>
        <w:t xml:space="preserve">0–6 </w:t>
      </w:r>
      <w:r>
        <w:rPr/>
        <w:t xml:space="preserve">岁阶段共提供 </w:t>
      </w:r>
      <w:r>
        <w:rPr/>
        <w:t xml:space="preserve">11 </w:t>
      </w:r>
      <w:r>
        <w:rPr/>
        <w:t>次心理行为发育初筛，并明确</w:t>
      </w:r>
      <w:r>
        <w:rPr/>
        <w:t>"</w:t>
      </w:r>
      <w:r>
        <w:rPr/>
        <w:t>以基层为主、就近就便干预</w:t>
      </w:r>
      <w:r>
        <w:rPr/>
        <w:t>"</w:t>
      </w:r>
      <w:r>
        <w:rPr/>
        <w:t xml:space="preserve">以及引导家庭积极参与的原则；该文件同时载明我国儿童孤独症患病率约为 </w:t>
      </w:r>
      <w:r>
        <w:rPr/>
        <w:t>7‰</w:t>
      </w:r>
      <w:r>
        <w:rPr/>
        <w:t>。在教育侧，《</w:t>
      </w:r>
      <w:r>
        <w:rPr/>
        <w:t>"</w:t>
      </w:r>
      <w:r>
        <w:rPr/>
        <w:t>十四五</w:t>
      </w:r>
      <w:r>
        <w:rPr/>
        <w:t>"</w:t>
      </w:r>
      <w:r>
        <w:rPr/>
        <w:t>特殊教育发展提升行动计划》提出推进医疗、康复、信息技术与特殊教育的深度融合，并要求提高医教结合与康教融合的实际成效。</w:t>
      </w:r>
    </w:p>
    <w:p>
      <w:pPr>
        <w:pStyle w:val="Normal"/>
        <w:rPr/>
      </w:pPr>
      <w:r>
        <w:rPr>
          <w:b/>
        </w:rPr>
        <w:t>介入程度与服务形态。</w:t>
      </w:r>
      <w:r>
        <w:rPr/>
        <w:t xml:space="preserve"> 一线城市与省会城市的早期康复资源相对充裕，密集式干预、感觉统合训练与言语—语言治疗普及程度较高；县域与农村地区的覆盖率则明显偏低，多以中低强度、间断式的干预为主。特教体系呈现公办特教园、融合幼儿园与民办康复机构并行的格局，并辅之以随班就读、资源教室与送教上门等安置形式。</w:t>
      </w:r>
    </w:p>
    <w:p>
      <w:pPr>
        <w:pStyle w:val="Normal"/>
        <w:rPr/>
      </w:pPr>
      <w:r>
        <w:rPr>
          <w:b/>
        </w:rPr>
        <w:t>衔接度的实质困境。</w:t>
      </w:r>
      <w:r>
        <w:rPr/>
        <w:t xml:space="preserve"> 康复归属于卫生健康与残联系统，特教归属于教育系统。这一格局造成的并非简单的</w:t>
      </w:r>
      <w:r>
        <w:rPr/>
        <w:t>"</w:t>
      </w:r>
      <w:r>
        <w:rPr/>
        <w:t>沟通不畅</w:t>
      </w:r>
      <w:r>
        <w:rPr/>
        <w:t>"</w:t>
      </w:r>
      <w:r>
        <w:rPr/>
        <w:t>，而是</w:t>
      </w:r>
      <w:r>
        <w:rPr>
          <w:b/>
        </w:rPr>
        <w:t>评估工具、个案档案与目标函数的三重不通约</w:t>
      </w:r>
      <w:r>
        <w:rPr/>
        <w:t>。康复机构优化的是功能指标，幼儿园与特校优化的是课程达成与群体秩序；当儿童在两类场域表现不一致时，信息不流通使得双方各自归因于对方。近年来部分地区已推动定点康复机构资质互通、医务人员参与教育评估等试点，但从公开材料观察，跨专业团队的常态化协作尚未成为普遍性的制度安排。</w:t>
      </w:r>
    </w:p>
    <w:p>
      <w:pPr>
        <w:pStyle w:val="Normal"/>
        <w:rPr/>
      </w:pPr>
      <w:r>
        <w:rPr>
          <w:b/>
        </w:rPr>
        <w:t>本土证据。</w:t>
      </w:r>
      <w:r>
        <w:rPr/>
        <w:t xml:space="preserve"> 高迪等（</w:t>
      </w:r>
      <w:r>
        <w:rPr/>
        <w:t>2020</w:t>
      </w:r>
      <w:r>
        <w:rPr/>
        <w:t xml:space="preserve">）将 </w:t>
      </w:r>
      <w:r>
        <w:rPr/>
        <w:t xml:space="preserve">70 </w:t>
      </w:r>
      <w:r>
        <w:rPr/>
        <w:t xml:space="preserve">例 </w:t>
      </w:r>
      <w:r>
        <w:rPr/>
        <w:t xml:space="preserve">2–5 </w:t>
      </w:r>
      <w:r>
        <w:rPr/>
        <w:t xml:space="preserve">岁 </w:t>
      </w:r>
      <w:r>
        <w:rPr/>
        <w:t xml:space="preserve">ASD </w:t>
      </w:r>
      <w:r>
        <w:rPr/>
        <w:t>患儿随机分配至早期介入丹佛模式（</w:t>
      </w:r>
      <w:r>
        <w:rPr/>
        <w:t>Early Start Denver Model, ESDM</w:t>
      </w:r>
      <w:r>
        <w:rPr/>
        <w:t>）密集训练组与</w:t>
      </w:r>
      <w:r>
        <w:rPr/>
        <w:t>"</w:t>
      </w:r>
      <w:r>
        <w:rPr/>
        <w:t>密集训练联合家长培训</w:t>
      </w:r>
      <w:r>
        <w:rPr/>
        <w:t>"</w:t>
      </w:r>
      <w:r>
        <w:rPr/>
        <w:t>组，结果显示在密集训练基础上叠加家长培训可进一步改善儿童疗效并缓解父母的育儿压力。该研究的启示在于：</w:t>
      </w:r>
      <w:r>
        <w:rPr>
          <w:b/>
        </w:rPr>
        <w:t>家长培训的增量价值不仅在于</w:t>
      </w:r>
      <w:r>
        <w:rPr>
          <w:b/>
        </w:rPr>
        <w:t>"</w:t>
      </w:r>
      <w:r>
        <w:rPr>
          <w:b/>
        </w:rPr>
        <w:t>把技术交付给家长</w:t>
      </w:r>
      <w:r>
        <w:rPr>
          <w:b/>
        </w:rPr>
        <w:t>"</w:t>
      </w:r>
      <w:r>
        <w:rPr>
          <w:b/>
        </w:rPr>
        <w:t>，更在于使干预真正进入家庭的日常互动序列之中。</w:t>
      </w:r>
    </w:p>
    <w:p>
      <w:pPr>
        <w:pStyle w:val="Normal"/>
        <w:rPr/>
      </w:pPr>
      <w:r>
        <w:rPr>
          <w:b/>
        </w:rPr>
        <w:t>接受度。</w:t>
      </w:r>
      <w:r>
        <w:rPr/>
        <w:t xml:space="preserve"> 大城市家长的认知水平与求助意愿持续提升；欠发达地区则仍存在病耻感与识别不足，部分家庭延迟就诊。经济负担是贯穿各地区的共性障碍。</w:t>
      </w:r>
    </w:p>
    <w:p>
      <w:pPr>
        <w:pStyle w:val="3"/>
        <w:rPr/>
      </w:pPr>
      <w:r>
        <w:rPr/>
        <w:t xml:space="preserve">4.3 </w:t>
      </w:r>
      <w:r>
        <w:rPr/>
        <w:t>马来西亚：法律框架明确，实施受地理与语言结构约束</w:t>
      </w:r>
    </w:p>
    <w:p>
      <w:pPr>
        <w:pStyle w:val="Normal"/>
        <w:rPr/>
      </w:pPr>
      <w:r>
        <w:rPr>
          <w:b/>
        </w:rPr>
        <w:t>政策支持度。</w:t>
      </w:r>
      <w:r>
        <w:rPr/>
        <w:t xml:space="preserve"> 马来西亚于 </w:t>
      </w:r>
      <w:r>
        <w:rPr/>
        <w:t xml:space="preserve">2010 </w:t>
      </w:r>
      <w:r>
        <w:rPr/>
        <w:t>年批准《残疾人权利公约》，并在此前后制定《</w:t>
      </w:r>
      <w:r>
        <w:rPr/>
        <w:t xml:space="preserve">2008 </w:t>
      </w:r>
      <w:r>
        <w:rPr/>
        <w:t>年残疾人法案》（</w:t>
      </w:r>
      <w:r>
        <w:rPr/>
        <w:t>Act 685</w:t>
      </w:r>
      <w:r>
        <w:rPr/>
        <w:t>），为残疾人的权利保障提供了成文法基础。需要指出的是，马来西亚在批准公约时对部分条款作出了保留，这在一定程度上限制了公约义务在国内法层面的完整性和可执行性——此为公开文献所载事实，亦构成理解该国政策落地落差的一个重要背景。</w:t>
      </w:r>
    </w:p>
    <w:p>
      <w:pPr>
        <w:pStyle w:val="Normal"/>
        <w:rPr/>
      </w:pPr>
      <w:r>
        <w:rPr>
          <w:b/>
        </w:rPr>
        <w:t>教育侧的制度创新。</w:t>
      </w:r>
      <w:r>
        <w:rPr/>
        <w:t xml:space="preserve"> 马来西亚教育部于 </w:t>
      </w:r>
      <w:r>
        <w:rPr/>
        <w:t xml:space="preserve">2025 </w:t>
      </w:r>
      <w:r>
        <w:rPr/>
        <w:t>年发布《特殊教育服务中心运营指南》（</w:t>
      </w:r>
      <w:r>
        <w:rPr/>
        <w:t>SPI KPM Bil. 2 Tahun 2025</w:t>
      </w:r>
      <w:r>
        <w:rPr/>
        <w:t>），对全国特殊教育服务中心（</w:t>
      </w:r>
      <w:r>
        <w:rPr/>
        <w:t>Pusat Perkhidmatan Pendidikan Khas, 3PK</w:t>
      </w:r>
      <w:r>
        <w:rPr/>
        <w:t>）的职能与运营作出规范。据公开解读，</w:t>
      </w:r>
      <w:r>
        <w:rPr/>
        <w:t xml:space="preserve">3PK </w:t>
      </w:r>
      <w:r>
        <w:rPr/>
        <w:t xml:space="preserve">面向 </w:t>
      </w:r>
      <w:r>
        <w:rPr/>
        <w:t xml:space="preserve">4 </w:t>
      </w:r>
      <w:r>
        <w:rPr/>
        <w:t>岁及以上儿童与有特殊教育需求的学生、教师、家长及社区提供服务，职能涵盖筛查、评估、干预、康复与咨询，并由心理学、临床心理学、言语—语言治疗、作业治疗、物理治疗与听力学等专业人员组成跨学科团队，同时对设施配置与设备检查频次提出标准化要求。</w:t>
      </w:r>
    </w:p>
    <w:p>
      <w:pPr>
        <w:pStyle w:val="Normal"/>
        <w:rPr/>
      </w:pPr>
      <w:r>
        <w:rPr/>
        <w:t>这一制度设计在本文的分析框架中具有特殊意义：</w:t>
      </w:r>
      <w:r>
        <w:rPr>
          <w:b/>
        </w:rPr>
        <w:t>它把康复专业力量以</w:t>
      </w:r>
      <w:r>
        <w:rPr>
          <w:b/>
        </w:rPr>
        <w:t>"</w:t>
      </w:r>
      <w:r>
        <w:rPr>
          <w:b/>
        </w:rPr>
        <w:t>校内服务</w:t>
      </w:r>
      <w:r>
        <w:rPr>
          <w:b/>
        </w:rPr>
        <w:t>"</w:t>
      </w:r>
      <w:r>
        <w:rPr>
          <w:b/>
        </w:rPr>
        <w:t>而非</w:t>
      </w:r>
      <w:r>
        <w:rPr>
          <w:b/>
        </w:rPr>
        <w:t>"</w:t>
      </w:r>
      <w:r>
        <w:rPr>
          <w:b/>
        </w:rPr>
        <w:t>校外转介</w:t>
      </w:r>
      <w:r>
        <w:rPr>
          <w:b/>
        </w:rPr>
        <w:t>"</w:t>
      </w:r>
      <w:r>
        <w:rPr>
          <w:b/>
        </w:rPr>
        <w:t>的形式组织起来</w:t>
      </w:r>
      <w:r>
        <w:rPr/>
        <w:t>，在结构上降低了实现情境共享的成本。换言之，</w:t>
      </w:r>
      <w:r>
        <w:rPr/>
        <w:t xml:space="preserve">3PK </w:t>
      </w:r>
      <w:r>
        <w:rPr/>
        <w:t xml:space="preserve">的价值不仅在于增加了服务供给，更在于改变了服务的空间组织方式，使康复目标有可能在儿童真实的学习场域中被讨论与执行。其起点年龄设定为 </w:t>
      </w:r>
      <w:r>
        <w:rPr/>
        <w:t xml:space="preserve">4 </w:t>
      </w:r>
      <w:r>
        <w:rPr/>
        <w:t>岁，亦与学龄前干预的窗口期大体吻合。</w:t>
      </w:r>
    </w:p>
    <w:p>
      <w:pPr>
        <w:pStyle w:val="Normal"/>
        <w:rPr/>
      </w:pPr>
      <w:r>
        <w:rPr>
          <w:b/>
        </w:rPr>
        <w:t>可及性的结构性约束。</w:t>
      </w:r>
      <w:r>
        <w:rPr/>
        <w:t xml:space="preserve"> </w:t>
      </w:r>
      <w:r>
        <w:rPr/>
        <w:t xml:space="preserve">Naicker </w:t>
      </w:r>
      <w:r>
        <w:rPr/>
        <w:t>等（</w:t>
      </w:r>
      <w:r>
        <w:rPr/>
        <w:t>2019</w:t>
      </w:r>
      <w:r>
        <w:rPr/>
        <w:t xml:space="preserve">）对马来西亚康复服务的综述指出，全国登记的残疾人口约为 </w:t>
      </w:r>
      <w:r>
        <w:rPr/>
        <w:t xml:space="preserve">409,269 </w:t>
      </w:r>
      <w:r>
        <w:rPr/>
        <w:t xml:space="preserve">人，占总人口约 </w:t>
      </w:r>
      <w:r>
        <w:rPr/>
        <w:t>1.3%</w:t>
      </w:r>
      <w:r>
        <w:rPr/>
        <w:t xml:space="preserve">，显著低于世界卫生组织约 </w:t>
      </w:r>
      <w:r>
        <w:rPr/>
        <w:t xml:space="preserve">10% </w:t>
      </w:r>
      <w:r>
        <w:rPr/>
        <w:t>的估计水平。本文认为，</w:t>
      </w:r>
      <w:r>
        <w:rPr/>
        <w:t>"</w:t>
      </w:r>
      <w:r>
        <w:rPr/>
        <w:t>登记率—估计患病率</w:t>
      </w:r>
      <w:r>
        <w:rPr/>
        <w:t>"</w:t>
      </w:r>
      <w:r>
        <w:rPr/>
        <w:t>之间的这一巨大落差，本身即构成早期识别与服务可及性不足的间接证据，其解释力不亚于任何一项直接的满意度调查：它意味着大量个体从未进入服务系统的视野。</w:t>
      </w:r>
    </w:p>
    <w:p>
      <w:pPr>
        <w:pStyle w:val="Normal"/>
        <w:rPr/>
      </w:pPr>
      <w:r>
        <w:rPr/>
        <w:t>除地理因素外，语言结构是另一重约束。马来西亚的特殊教育服务需在马来语、英语、华语与淡米尔语的多语环境中运行，教材与评估工具的语种覆盖不全、师资供给的族群结构失衡，均会实质性地削弱干预的可获得性与质量。沙巴、砂拉越等东马地区的资源稀缺与交通不便，则进一步放大了上述约束。</w:t>
      </w:r>
    </w:p>
    <w:p>
      <w:pPr>
        <w:pStyle w:val="Normal"/>
        <w:rPr/>
      </w:pPr>
      <w:r>
        <w:rPr>
          <w:b/>
        </w:rPr>
        <w:t>接受度。</w:t>
      </w:r>
      <w:r>
        <w:rPr/>
        <w:t xml:space="preserve"> 城市家庭的认知与接受度逐步提升；乡村与原住民社区中，传统观念、宗教解释框架与病耻感仍然存在，交通与时间成本亦构成参与的实质障碍。非政府组织与私立机构在填补公立服务空白方面发挥着显著的补充作用。</w:t>
      </w:r>
    </w:p>
    <w:p>
      <w:pPr>
        <w:pStyle w:val="Normal"/>
        <w:rPr/>
      </w:pPr>
      <w:r>
        <w:rPr>
          <w:b/>
        </w:rPr>
        <w:t>证据使用限制。</w:t>
      </w:r>
      <w:r>
        <w:rPr/>
        <w:t xml:space="preserve"> 关于马来西亚自闭症登记人数与学习费津贴的若干数据，公开来源为媒体转述的部长讲话，而非同行评议文献。本文在引用时保留来源限定，读者使用时宜作同等处理。</w:t>
      </w:r>
    </w:p>
    <w:p>
      <w:pPr>
        <w:pStyle w:val="3"/>
        <w:rPr/>
      </w:pPr>
      <w:r>
        <w:rPr/>
        <w:t xml:space="preserve">4.4 </w:t>
      </w:r>
      <w:r>
        <w:rPr/>
        <w:t>新加坡：以强度分层实现制度化整合</w:t>
      </w:r>
    </w:p>
    <w:p>
      <w:pPr>
        <w:pStyle w:val="Normal"/>
        <w:rPr/>
      </w:pPr>
      <w:r>
        <w:rPr>
          <w:b/>
        </w:rPr>
        <w:t>制度架构。</w:t>
      </w:r>
      <w:r>
        <w:rPr/>
        <w:t xml:space="preserve"> 新加坡于 </w:t>
      </w:r>
      <w:r>
        <w:rPr/>
        <w:t xml:space="preserve">2013 </w:t>
      </w:r>
      <w:r>
        <w:rPr/>
        <w:t>年批准《残疾人权利公约》。在治理层面，</w:t>
      </w:r>
      <w:r>
        <w:rPr/>
        <w:t xml:space="preserve">2012 </w:t>
      </w:r>
      <w:r>
        <w:rPr/>
        <w:t>年设立的新协立机构（</w:t>
      </w:r>
      <w:r>
        <w:rPr/>
        <w:t>SG Enable</w:t>
      </w:r>
      <w:r>
        <w:rPr/>
        <w:t>）作为社会及家庭发展部下辖的协调主体，负责推动国家残障服务蓝图（</w:t>
      </w:r>
      <w:r>
        <w:rPr/>
        <w:t>Enabling Masterplan</w:t>
      </w:r>
      <w:r>
        <w:rPr/>
        <w:t xml:space="preserve">）的实施。该蓝图自 </w:t>
      </w:r>
      <w:r>
        <w:rPr/>
        <w:t xml:space="preserve">2007 </w:t>
      </w:r>
      <w:r>
        <w:rPr/>
        <w:t xml:space="preserve">年起已迭代四次，最新版本为 </w:t>
      </w:r>
      <w:r>
        <w:rPr/>
        <w:t xml:space="preserve">2022 </w:t>
      </w:r>
      <w:r>
        <w:rPr/>
        <w:t xml:space="preserve">年发布、覆盖 </w:t>
      </w:r>
      <w:r>
        <w:rPr/>
        <w:t xml:space="preserve">2023 </w:t>
      </w:r>
      <w:r>
        <w:rPr/>
        <w:t xml:space="preserve">至 </w:t>
      </w:r>
      <w:r>
        <w:rPr/>
        <w:t xml:space="preserve">2030 </w:t>
      </w:r>
      <w:r>
        <w:rPr/>
        <w:t>年的《</w:t>
      </w:r>
      <w:r>
        <w:rPr/>
        <w:t xml:space="preserve">2030 </w:t>
      </w:r>
      <w:r>
        <w:rPr/>
        <w:t>年残障服务总蓝图》，围绕终身学习支持、独立生活与包容性环境等战略主题提出多项改革建议，其制定过程吸纳了残障人士本人、照护者、服务机构与多个政府部门的参与。</w:t>
      </w:r>
    </w:p>
    <w:p>
      <w:pPr>
        <w:pStyle w:val="Normal"/>
        <w:rPr/>
      </w:pPr>
      <w:r>
        <w:rPr>
          <w:b/>
        </w:rPr>
        <w:t>本文关注的重点不在于机构设置本身，而在于其资源分配所依据的</w:t>
      </w:r>
      <w:r>
        <w:rPr>
          <w:b/>
        </w:rPr>
        <w:t>"</w:t>
      </w:r>
      <w:r>
        <w:rPr>
          <w:b/>
        </w:rPr>
        <w:t>强度分层</w:t>
      </w:r>
      <w:r>
        <w:rPr>
          <w:b/>
        </w:rPr>
        <w:t>"</w:t>
      </w:r>
      <w:r>
        <w:rPr>
          <w:b/>
        </w:rPr>
        <w:t>逻辑。</w:t>
      </w:r>
      <w:r>
        <w:rPr/>
        <w:t xml:space="preserve"> 据 </w:t>
      </w:r>
      <w:r>
        <w:rPr/>
        <w:t xml:space="preserve">2024 </w:t>
      </w:r>
      <w:r>
        <w:rPr/>
        <w:t>年国会答问的公开记录，有发育需要的儿童先由儿科医师评估，以确定其所需的早期干预强度；</w:t>
      </w:r>
      <w:r>
        <w:rPr>
          <w:b/>
        </w:rPr>
        <w:t>仅被评估为需要中至高程度干预支持的儿童，方被转介至专门的早期干预计划（</w:t>
      </w:r>
      <w:r>
        <w:rPr>
          <w:b/>
        </w:rPr>
        <w:t>EIPIC</w:t>
      </w:r>
      <w:r>
        <w:rPr>
          <w:b/>
        </w:rPr>
        <w:t>）或其学前版本（</w:t>
      </w:r>
      <w:r>
        <w:rPr>
          <w:b/>
        </w:rPr>
        <w:t>EIPIC-P</w:t>
      </w:r>
      <w:r>
        <w:rPr>
          <w:b/>
        </w:rPr>
        <w:t>）</w:t>
      </w:r>
      <w:r>
        <w:rPr/>
        <w:t>。</w:t>
      </w:r>
      <w:r>
        <w:rPr/>
        <w:t xml:space="preserve">EIPIC-P </w:t>
      </w:r>
      <w:r>
        <w:rPr/>
        <w:t xml:space="preserve">中心由 </w:t>
      </w:r>
      <w:r>
        <w:rPr/>
        <w:t xml:space="preserve">2021 </w:t>
      </w:r>
      <w:r>
        <w:rPr/>
        <w:t xml:space="preserve">年的 </w:t>
      </w:r>
      <w:r>
        <w:rPr/>
        <w:t xml:space="preserve">16 </w:t>
      </w:r>
      <w:r>
        <w:rPr/>
        <w:t>所（</w:t>
      </w:r>
      <w:r>
        <w:rPr/>
        <w:t xml:space="preserve">400 </w:t>
      </w:r>
      <w:r>
        <w:rPr/>
        <w:t xml:space="preserve">个名额）扩展至 </w:t>
      </w:r>
      <w:r>
        <w:rPr/>
        <w:t xml:space="preserve">29 </w:t>
      </w:r>
      <w:r>
        <w:rPr/>
        <w:t>所（</w:t>
      </w:r>
      <w:r>
        <w:rPr/>
        <w:t xml:space="preserve">1,600 </w:t>
      </w:r>
      <w:r>
        <w:rPr/>
        <w:t xml:space="preserve">个名额），幼儿培育署于 </w:t>
      </w:r>
      <w:r>
        <w:rPr/>
        <w:t xml:space="preserve">2024 </w:t>
      </w:r>
      <w:r>
        <w:rPr/>
        <w:t xml:space="preserve">年再增设 </w:t>
      </w:r>
      <w:r>
        <w:rPr/>
        <w:t xml:space="preserve">1,500 </w:t>
      </w:r>
      <w:r>
        <w:rPr/>
        <w:t xml:space="preserve">个 </w:t>
      </w:r>
      <w:r>
        <w:rPr/>
        <w:t xml:space="preserve">EIPIC </w:t>
      </w:r>
      <w:r>
        <w:rPr/>
        <w:t xml:space="preserve">与 </w:t>
      </w:r>
      <w:r>
        <w:rPr/>
        <w:t xml:space="preserve">EIPIC-P </w:t>
      </w:r>
      <w:r>
        <w:rPr/>
        <w:t xml:space="preserve">名额；名额分配以先到先得为原则，但优先安排 </w:t>
      </w:r>
      <w:r>
        <w:rPr/>
        <w:t xml:space="preserve">5 </w:t>
      </w:r>
      <w:r>
        <w:rPr/>
        <w:t xml:space="preserve">至 </w:t>
      </w:r>
      <w:r>
        <w:rPr/>
        <w:t xml:space="preserve">6 </w:t>
      </w:r>
      <w:r>
        <w:rPr/>
        <w:t>岁儿童，以确保其在升入主流学校或特殊教育学校之前至少接受一年干预；经济状况调查不用于判定资格，仅用于确定自付费用额度。</w:t>
      </w:r>
    </w:p>
    <w:p>
      <w:pPr>
        <w:pStyle w:val="Normal"/>
        <w:rPr/>
      </w:pPr>
      <w:r>
        <w:rPr/>
        <w:t>在学前教育场域内部，需要低至中等程度干预支持的儿童由</w:t>
      </w:r>
      <w:r>
        <w:rPr/>
        <w:t>"</w:t>
      </w:r>
      <w:r>
        <w:rPr/>
        <w:t>发展支持—学习支持</w:t>
      </w:r>
      <w:r>
        <w:rPr/>
        <w:t>"</w:t>
      </w:r>
      <w:r>
        <w:rPr/>
        <w:t>（</w:t>
      </w:r>
      <w:r>
        <w:rPr/>
        <w:t>DS-LS</w:t>
      </w:r>
      <w:r>
        <w:rPr/>
        <w:t>）与</w:t>
      </w:r>
      <w:r>
        <w:rPr/>
        <w:t>"</w:t>
      </w:r>
      <w:r>
        <w:rPr/>
        <w:t>融合支持计划</w:t>
      </w:r>
      <w:r>
        <w:rPr/>
        <w:t>"</w:t>
      </w:r>
      <w:r>
        <w:rPr/>
        <w:t>（</w:t>
      </w:r>
      <w:r>
        <w:rPr/>
        <w:t>InSP</w:t>
      </w:r>
      <w:r>
        <w:rPr/>
        <w:t xml:space="preserve">）覆盖，由学习支持教师、早期干预教师及专职医疗人员组成的多学科团队在园所内提供服务；主管部门计划将 </w:t>
      </w:r>
      <w:r>
        <w:rPr/>
        <w:t xml:space="preserve">DS-LS </w:t>
      </w:r>
      <w:r>
        <w:rPr/>
        <w:t xml:space="preserve">扩展至覆盖多数 </w:t>
      </w:r>
      <w:r>
        <w:rPr/>
        <w:t xml:space="preserve">5 </w:t>
      </w:r>
      <w:r>
        <w:rPr/>
        <w:t xml:space="preserve">至 </w:t>
      </w:r>
      <w:r>
        <w:rPr/>
        <w:t xml:space="preserve">6 </w:t>
      </w:r>
      <w:r>
        <w:rPr/>
        <w:t xml:space="preserve">岁在园儿童，并由国家幼儿培育教育学院开设专科文凭课程，培训教师在筛查工具与支持方法上的实操能力。此外，针对 </w:t>
      </w:r>
      <w:r>
        <w:rPr/>
        <w:t xml:space="preserve">2 </w:t>
      </w:r>
      <w:r>
        <w:rPr/>
        <w:t xml:space="preserve">至 </w:t>
      </w:r>
      <w:r>
        <w:rPr/>
        <w:t xml:space="preserve">3 </w:t>
      </w:r>
      <w:r>
        <w:rPr/>
        <w:t xml:space="preserve">岁发育需要儿童照护者的培训试点于 </w:t>
      </w:r>
      <w:r>
        <w:rPr/>
        <w:t xml:space="preserve">2024 </w:t>
      </w:r>
      <w:r>
        <w:rPr/>
        <w:t>年下半年启动，为期六个月，通过小组工作坊与个别辅导传授家庭支持的技能。</w:t>
      </w:r>
    </w:p>
    <w:p>
      <w:pPr>
        <w:pStyle w:val="Normal"/>
        <w:rPr/>
      </w:pPr>
      <w:r>
        <w:rPr>
          <w:b/>
        </w:rPr>
        <w:t>分析价值。</w:t>
      </w:r>
      <w:r>
        <w:rPr/>
        <w:t xml:space="preserve"> 这一结构的意义在于：它把</w:t>
      </w:r>
      <w:r>
        <w:rPr/>
        <w:t>"</w:t>
      </w:r>
      <w:r>
        <w:rPr/>
        <w:t>康复</w:t>
      </w:r>
      <w:r>
        <w:rPr/>
        <w:t>"</w:t>
      </w:r>
      <w:r>
        <w:rPr/>
        <w:t>与</w:t>
      </w:r>
      <w:r>
        <w:rPr/>
        <w:t>"</w:t>
      </w:r>
      <w:r>
        <w:rPr/>
        <w:t>学习</w:t>
      </w:r>
      <w:r>
        <w:rPr/>
        <w:t>"</w:t>
      </w:r>
      <w:r>
        <w:rPr/>
        <w:t>放置在</w:t>
      </w:r>
      <w:r>
        <w:rPr>
          <w:b/>
        </w:rPr>
        <w:t>同一条强度连续谱</w:t>
      </w:r>
      <w:r>
        <w:rPr/>
        <w:t>之上，而非分置于两个部门。低程度需要由教育系统在园所内部解决，高程度需要由卫生—社会服务系统的专门中心承担，二者之间设有明确的评估、转介与优先规则。就本文提出的核心构念而言，这一安排直接降低了技能迁移的损耗——因为多数儿童的支持是在其日常学习情境中发生的，而非在情境之外发生后再试图迁移回去。</w:t>
      </w:r>
    </w:p>
    <w:p>
      <w:pPr>
        <w:pStyle w:val="Normal"/>
        <w:rPr/>
      </w:pPr>
      <w:r>
        <w:rPr/>
        <w:t>在医疗侧，新加坡本地的实证工作亦提示诊断模式、认知与适应功能以及教育安置结局之间存在可追踪的关联（</w:t>
      </w:r>
      <w:r>
        <w:rPr/>
        <w:t>Wong et al., 2024</w:t>
      </w:r>
      <w:r>
        <w:rPr/>
        <w:t>），为上述制度的成效评估提供了可资利用的观测点。</w:t>
      </w:r>
    </w:p>
    <w:p>
      <w:pPr>
        <w:pStyle w:val="Normal"/>
        <w:rPr/>
      </w:pPr>
      <w:r>
        <w:rPr>
          <w:b/>
        </w:rPr>
        <w:t>代价与约束。</w:t>
      </w:r>
      <w:r>
        <w:rPr/>
        <w:t xml:space="preserve"> 该模式的代价同样清晰：服务成本高昂、专业人员紧张、等候时间较长，且高强度干预模式对家庭的时间与经济构成持续压力。这意味着新加坡模式的</w:t>
      </w:r>
      <w:r>
        <w:rPr>
          <w:b/>
        </w:rPr>
        <w:t>构成要素</w:t>
      </w:r>
      <w:r>
        <w:rPr/>
        <w:t>具有借鉴价值，但其整体形态不易被人口分散、财政结构不同的法域整体复制。</w:t>
      </w:r>
    </w:p>
    <w:p>
      <w:pPr>
        <w:pStyle w:val="3"/>
        <w:rPr/>
      </w:pPr>
      <w:r>
        <w:rPr/>
        <w:t xml:space="preserve">4.5 </w:t>
      </w:r>
      <w:r>
        <w:rPr/>
        <w:t>文莱：结构性证据缺口及其成因分析</w:t>
      </w:r>
    </w:p>
    <w:p>
      <w:pPr>
        <w:pStyle w:val="Normal"/>
        <w:rPr/>
      </w:pPr>
      <w:r>
        <w:rPr>
          <w:b/>
        </w:rPr>
        <w:t>证据缺口声明。</w:t>
      </w:r>
      <w:r>
        <w:rPr/>
        <w:t xml:space="preserve"> 截至本次检索（</w:t>
      </w:r>
      <w:r>
        <w:rPr/>
        <w:t xml:space="preserve">2026 </w:t>
      </w:r>
      <w:r>
        <w:rPr/>
        <w:t xml:space="preserve">年 </w:t>
      </w:r>
      <w:r>
        <w:rPr/>
        <w:t xml:space="preserve">9 </w:t>
      </w:r>
      <w:r>
        <w:rPr/>
        <w:t>月），在公开渠道未检索到文莱卫生部或教育部发布的、针对孤独症谱系障碍或发育障碍儿童的学龄前早期干预临床实践指南，亦未核实到康复—特教转介标准、学前双向干预的对照研究或本地服务覆盖率的系统性数据。因此，</w:t>
      </w:r>
      <w:r>
        <w:rPr>
          <w:b/>
        </w:rPr>
        <w:t>本节不对文莱的干预效应作任何实证断言</w:t>
      </w:r>
      <w:r>
        <w:rPr/>
        <w:t>，以下论述均限于制度描述与作者推论。</w:t>
      </w:r>
    </w:p>
    <w:p>
      <w:pPr>
        <w:pStyle w:val="Normal"/>
        <w:rPr/>
      </w:pPr>
      <w:r>
        <w:rPr>
          <w:b/>
        </w:rPr>
        <w:t>可谨慎纳入的公开事实。</w:t>
      </w:r>
      <w:r>
        <w:rPr/>
        <w:t xml:space="preserve"> 其一，文莱于 </w:t>
      </w:r>
      <w:r>
        <w:rPr/>
        <w:t xml:space="preserve">2016 </w:t>
      </w:r>
      <w:r>
        <w:rPr/>
        <w:t xml:space="preserve">年批准《残疾人权利公约》，系四国中最晚。其二，据经济计划与统计局的公开估计，文莱 </w:t>
      </w:r>
      <w:r>
        <w:rPr/>
        <w:t xml:space="preserve">2025 </w:t>
      </w:r>
      <w:r>
        <w:rPr/>
        <w:t xml:space="preserve">年人口约为 </w:t>
      </w:r>
      <w:r>
        <w:rPr/>
        <w:t xml:space="preserve">458,600 </w:t>
      </w:r>
      <w:r>
        <w:rPr/>
        <w:t xml:space="preserve">人，其中文莱—摩拉区占总人口的约 </w:t>
      </w:r>
      <w:r>
        <w:rPr/>
        <w:t>72.5%</w:t>
      </w:r>
      <w:r>
        <w:rPr/>
        <w:t>，人口高度集中于首都圈。其三，在教育制度层面，文莱的</w:t>
      </w:r>
      <w:r>
        <w:rPr/>
        <w:t xml:space="preserve">"21 </w:t>
      </w:r>
      <w:r>
        <w:rPr/>
        <w:t>世纪国家教育制度</w:t>
      </w:r>
      <w:r>
        <w:rPr/>
        <w:t>"</w:t>
      </w:r>
      <w:r>
        <w:rPr/>
        <w:t>（</w:t>
      </w:r>
      <w:r>
        <w:rPr/>
        <w:t>SPN21</w:t>
      </w:r>
      <w:r>
        <w:rPr/>
        <w:t xml:space="preserve">）框架内设有特殊教育需要项目，面向视障、听障、智力障碍及特定学习需要学生；教育部下设特殊教育单位负责相关事务。其四，文莱在 </w:t>
      </w:r>
      <w:r>
        <w:rPr/>
        <w:t xml:space="preserve">2022 </w:t>
      </w:r>
      <w:r>
        <w:rPr/>
        <w:t xml:space="preserve">年提交的教育变革国家承诺声明中，承诺为所有学生提供安全健康的学习环境、顾及从早期儿童教育到高等教育的广泛能力与特殊状况，并优先实施补救性与学习支持措施。其五，非政府组织在供给端扮演实质角色，例如某慈善基金会下设的特殊教育学校开设语言、心理与康复等训练教室，在册学生规模数百名、年龄跨度自 </w:t>
      </w:r>
      <w:r>
        <w:rPr/>
        <w:t xml:space="preserve">4 </w:t>
      </w:r>
      <w:r>
        <w:rPr/>
        <w:t>岁延伸至成年，并曾获东盟层面的社会发展奖项。</w:t>
      </w:r>
    </w:p>
    <w:p>
      <w:pPr>
        <w:pStyle w:val="Normal"/>
        <w:rPr/>
      </w:pPr>
      <w:r>
        <w:rPr>
          <w:b/>
        </w:rPr>
        <w:t>对缺口成因的分析（作者推论）。</w:t>
      </w:r>
      <w:r>
        <w:rPr/>
        <w:t xml:space="preserve"> 第一，</w:t>
      </w:r>
      <w:r>
        <w:rPr>
          <w:b/>
        </w:rPr>
        <w:t>样本量的结构性限制</w:t>
      </w:r>
      <w:r>
        <w:rPr/>
        <w:t xml:space="preserve">。约 </w:t>
      </w:r>
      <w:r>
        <w:rPr/>
        <w:t xml:space="preserve">45 </w:t>
      </w:r>
      <w:r>
        <w:rPr/>
        <w:t>万的人口基数决定了单一法域难以支撑足够样本量的本地随机对照试验，这是小国的客观约束，而非研究能力问题。第二，</w:t>
      </w:r>
      <w:r>
        <w:rPr>
          <w:b/>
        </w:rPr>
        <w:t>文献的可索引性</w:t>
      </w:r>
      <w:r>
        <w:rPr/>
        <w:t>。小国政策文件多以内部行政文件形式存在，未必进入国际数据库；研究成果亦可能以马来文或内部报告形式流通。第三，</w:t>
      </w:r>
      <w:r>
        <w:rPr>
          <w:b/>
        </w:rPr>
        <w:t>需求的显现顺序</w:t>
      </w:r>
      <w:r>
        <w:rPr/>
        <w:t>。在人口规模小、绝对病例数少的条件下，服务体系更可能以个案化、项目化的方式运作，而非以标准化流程的方式被记录——这恰恰使得外部观察者难以获取可用于比较的材料。</w:t>
      </w:r>
    </w:p>
    <w:p>
      <w:pPr>
        <w:pStyle w:val="Normal"/>
        <w:rPr/>
      </w:pPr>
      <w:r>
        <w:rPr>
          <w:b/>
        </w:rPr>
        <w:t>由此导出的策略主张（建议，非既有结论）。</w:t>
      </w:r>
      <w:r>
        <w:rPr/>
        <w:t xml:space="preserve"> 文莱的合理路径不是</w:t>
      </w:r>
      <w:r>
        <w:rPr/>
        <w:t>"</w:t>
      </w:r>
      <w:r>
        <w:rPr/>
        <w:t>等待本土随机对照证据积累</w:t>
      </w:r>
      <w:r>
        <w:rPr/>
        <w:t>"</w:t>
      </w:r>
      <w:r>
        <w:rPr/>
        <w:t>，而是</w:t>
      </w:r>
      <w:r>
        <w:rPr>
          <w:b/>
        </w:rPr>
        <w:t>适应性移植结合过程评估</w:t>
      </w:r>
      <w:r>
        <w:rPr/>
        <w:t>：选取邻近法域中已被系统评价支持的模式，在语言、宗教文化语境与照护者可承受负担三个维度上作前瞻性适配，并以可行性、可接受性、服务可及性与功能结局作为核心评价指标。值得指出的是，其小尺度治理结构在这一路径上反具优势——部门数量少、决策链条短、机构间协调成本低，更易实现统一档案与统一转介，而这两者恰是情境共享度的制度基础。因此，文莱宜以</w:t>
      </w:r>
      <w:r>
        <w:rPr/>
        <w:t>"</w:t>
      </w:r>
      <w:r>
        <w:rPr/>
        <w:t>小而精的跨部门试点</w:t>
      </w:r>
      <w:r>
        <w:rPr/>
        <w:t>"</w:t>
      </w:r>
      <w:r>
        <w:rPr/>
        <w:t>定位自身，而非以</w:t>
      </w:r>
      <w:r>
        <w:rPr/>
        <w:t>"</w:t>
      </w:r>
      <w:r>
        <w:rPr/>
        <w:t>缩小版的区域中心</w:t>
      </w:r>
      <w:r>
        <w:rPr/>
        <w:t>"</w:t>
      </w:r>
      <w:r>
        <w:rPr/>
        <w:t>为参照。</w:t>
      </w:r>
    </w:p>
    <w:p>
      <w:pPr>
        <w:pStyle w:val="3"/>
        <w:rPr/>
      </w:pPr>
      <w:r>
        <w:rPr/>
        <w:t xml:space="preserve">4.6 </w:t>
      </w:r>
      <w:r>
        <w:rPr/>
        <w:t>综合比较</w:t>
      </w:r>
    </w:p>
    <w:p>
      <w:pPr>
        <w:pStyle w:val="Normal"/>
        <w:rPr/>
      </w:pPr>
      <w:r>
        <w:rPr/>
        <w:t>下表汇总四国在五个维度上的制度特征。须再次强调：表中内容反映的是</w:t>
      </w:r>
      <w:r>
        <w:rPr>
          <w:b/>
        </w:rPr>
        <w:t>可核实的制度安排与公开证据状况</w:t>
      </w:r>
      <w:r>
        <w:rPr/>
        <w:t>，不等同于服务质量的评价，更不等同于儿童结局的效应量。</w:t>
      </w:r>
    </w:p>
    <w:p>
      <w:pPr>
        <w:pStyle w:val="Normal"/>
        <w:rPr/>
      </w:pPr>
      <w:r>
        <w:rPr>
          <w:b/>
        </w:rPr>
        <w:t xml:space="preserve">表 </w:t>
      </w:r>
      <w:r>
        <w:rPr>
          <w:b/>
        </w:rPr>
        <w:t>1</w:t>
      </w:r>
      <w:r>
        <w:rPr>
          <w:b/>
        </w:rPr>
        <w:t>　四国早期康复与特教五维度制度比较</w:t>
      </w:r>
    </w:p>
    <w:tbl>
      <w:tblPr>
        <w:tblStyle w:val="000015"/>
        <w:tblW w:w="9000" w:type="dxa"/>
        <w:jc w:val="left"/>
        <w:tblInd w:w="0" w:type="dxa"/>
        <w:tblLayout w:type="fixed"/>
        <w:tblCellMar>
          <w:top w:w="0" w:type="dxa"/>
          <w:left w:w="108" w:type="dxa"/>
          <w:bottom w:w="0" w:type="dxa"/>
          <w:right w:w="108" w:type="dxa"/>
        </w:tblCellMar>
      </w:tblPr>
      <w:tblGrid>
        <w:gridCol w:w="1800"/>
        <w:gridCol w:w="1800"/>
        <w:gridCol w:w="1800"/>
        <w:gridCol w:w="1800"/>
        <w:gridCol w:w="1800"/>
      </w:tblGrid>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维度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中国</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马来西亚</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新加坡</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文莱</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介入程度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一线与省会城市密集式干预普及；县域农村多为中低强度间断干预</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半岛大城市与私立部门集中；东马稀缺；以低强度间断服务为主</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按需要强度分层：园所内支持与专门中心并行，持续扩容</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服务集中于首都圈，总体规模有限</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服务衔接度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卫健与教育分属两系统；医教结合多为地方试点，跨专业常态化协作不足</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卫生—教育协作多依托项目；</w:t>
            </w:r>
            <w:r>
              <w:rPr>
                <w:rFonts w:eastAsia="微软雅黑" w:cs="Arial"/>
                <w:lang w:val="en-US" w:eastAsia="zh-CN" w:bidi="ar-SA"/>
              </w:rPr>
              <w:t xml:space="preserve">3PK </w:t>
            </w:r>
            <w:r>
              <w:rPr>
                <w:rFonts w:ascii="Arial" w:hAnsi="Arial" w:cs="Arial"/>
                <w:lang w:val="en-US" w:eastAsia="zh-CN" w:bidi="ar-SA"/>
              </w:rPr>
              <w:t>以校内跨学科团队形式提供整合</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强度分层评估、转介通道与园所内多学科团队制度化程度最高</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小规模合作，缺乏标准化转介流程（公开证据有限）</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家庭与社会接受度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城市认知与求助意愿提升；欠发达地区病耻感与延迟就诊并存</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城市提升；乡村与原住民社区受传统观念、语言与交通制约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筛查普及，社会包容度较高</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城市认知逐步提升，社会整体认知有待普及</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政策支持度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救助制度、筛查规范、特教行动计划构成完整链条，财政保障明确</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有专门法律与国际公约义务，专项预算有限，非政府组织补位</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国家蓝图持续迭代，经费与补贴体系较完整</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依托既有福利与教育体系，早期专项政策有限</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核心困境</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区域差距显著；人力配比不足；跨专业交叉培训缺位；技能迁移困难</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东西马不均；治疗师短缺；多语种教材与工具覆盖不足；服务碎片化</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服务成本高；等候时间长；人力竞争激烈；家庭负担重</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人口规模限制人才储备与循证方案的本地化验证</w:t>
            </w:r>
          </w:p>
        </w:tc>
      </w:tr>
    </w:tbl>
    <w:p>
      <w:pPr>
        <w:pStyle w:val="Normal"/>
        <w:rPr/>
      </w:pPr>
      <w:r>
        <w:rPr/>
      </w:r>
    </w:p>
    <w:p>
      <w:pPr>
        <w:pStyle w:val="Normal"/>
        <w:rPr/>
      </w:pPr>
      <w:r>
        <w:rPr>
          <w:b/>
        </w:rPr>
        <w:t xml:space="preserve">表 </w:t>
      </w:r>
      <w:r>
        <w:rPr>
          <w:b/>
        </w:rPr>
        <w:t>2</w:t>
      </w:r>
      <w:r>
        <w:rPr>
          <w:b/>
        </w:rPr>
        <w:t>　四国制度整合度与证据可得性分级（非服务质量排序）</w:t>
      </w:r>
    </w:p>
    <w:tbl>
      <w:tblPr>
        <w:tblStyle w:val="000015"/>
        <w:tblW w:w="9000" w:type="dxa"/>
        <w:jc w:val="left"/>
        <w:tblInd w:w="0" w:type="dxa"/>
        <w:tblLayout w:type="fixed"/>
        <w:tblCellMar>
          <w:top w:w="0" w:type="dxa"/>
          <w:left w:w="108" w:type="dxa"/>
          <w:bottom w:w="0" w:type="dxa"/>
          <w:right w:w="108" w:type="dxa"/>
        </w:tblCellMar>
      </w:tblPr>
      <w:tblGrid>
        <w:gridCol w:w="1800"/>
        <w:gridCol w:w="1800"/>
        <w:gridCol w:w="1800"/>
        <w:gridCol w:w="1800"/>
        <w:gridCol w:w="1800"/>
      </w:tblGrid>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法域</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国际公约批准年份</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制度整合度判定</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本地学前干预结局研究</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整体证据可得性</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中国</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eastAsia="微软雅黑" w:cs="Arial"/>
                <w:lang w:val="en-US" w:eastAsia="zh-CN" w:bidi="ar-SA"/>
              </w:rPr>
              <w:t>2008</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政策完整，衔接待强化</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有本土随机对照研究（如高迪等</w:t>
            </w:r>
            <w:r>
              <w:rPr>
                <w:rFonts w:eastAsia="微软雅黑" w:cs="Arial"/>
                <w:lang w:val="en-US" w:eastAsia="zh-CN" w:bidi="ar-SA"/>
              </w:rPr>
              <w:t>, 2020</w:t>
            </w:r>
            <w:r>
              <w:rPr>
                <w:rFonts w:ascii="Arial" w:hAnsi="Arial" w:cs="Arial"/>
                <w:lang w:val="en-US" w:eastAsia="zh-CN" w:bidi="ar-SA"/>
              </w:rPr>
              <w:t>）</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中等偏上</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新加坡</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eastAsia="微软雅黑" w:cs="Arial"/>
                <w:lang w:val="en-US" w:eastAsia="zh-CN" w:bidi="ar-SA"/>
              </w:rPr>
              <w:t>2013</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制度化分层整合</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多为单机构队列与行政数据</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中等</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马来西亚</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eastAsia="微软雅黑" w:cs="Arial"/>
                <w:lang w:val="en-US" w:eastAsia="zh-CN" w:bidi="ar-SA"/>
              </w:rPr>
              <w:t>2010</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校内中心正在制度化</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康复资源综述可及，学前干预研究不足</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有限至中等</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文莱</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eastAsia="微软雅黑" w:cs="Arial"/>
                <w:lang w:val="en-US" w:eastAsia="zh-CN" w:bidi="ar-SA"/>
              </w:rPr>
              <w:t>2016</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小规模，缺标准流程</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b/>
                <w:lang w:val="en-US" w:eastAsia="zh-CN" w:bidi="ar-SA"/>
              </w:rPr>
              <w:t>缺口</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缺口</w:t>
            </w:r>
          </w:p>
        </w:tc>
      </w:tr>
    </w:tbl>
    <w:p>
      <w:pPr>
        <w:pStyle w:val="Normal"/>
        <w:rPr/>
      </w:pPr>
      <w:r>
        <w:rPr/>
      </w:r>
    </w:p>
    <w:p>
      <w:pPr>
        <w:pStyle w:val="Normal"/>
        <w:pBdr>
          <w:bottom w:val="single" w:sz="8" w:space="0" w:color="020201"/>
        </w:pBdr>
        <w:rPr/>
      </w:pPr>
      <w:r>
        <w:rPr/>
      </w:r>
    </w:p>
    <w:p>
      <w:pPr>
        <w:pStyle w:val="2"/>
        <w:rPr/>
      </w:pPr>
      <w:r>
        <w:rPr/>
        <w:t xml:space="preserve">5. </w:t>
      </w:r>
      <w:r>
        <w:rPr/>
        <w:t>双向介入效应的证据强度：一次必要的降温</w:t>
      </w:r>
    </w:p>
    <w:p>
      <w:pPr>
        <w:pStyle w:val="3"/>
        <w:rPr/>
      </w:pPr>
      <w:r>
        <w:rPr/>
        <w:t xml:space="preserve">5.1 </w:t>
      </w:r>
      <w:r>
        <w:rPr/>
        <w:t>自然发展行为干预作为双向载体的优势</w:t>
      </w:r>
    </w:p>
    <w:p>
      <w:pPr>
        <w:pStyle w:val="Normal"/>
        <w:rPr/>
      </w:pPr>
      <w:r>
        <w:rPr/>
        <w:t>在诸多干预模式中，自然发展行为干预（</w:t>
      </w:r>
      <w:r>
        <w:rPr/>
        <w:t>naturalistic developmental behavioral interventions, NDBI</w:t>
      </w:r>
      <w:r>
        <w:rPr/>
        <w:t>）因其在自然情境中实施、遵循儿童发展顺序并运用行为原理，被视为兼顾康复与学习的天然载体（</w:t>
      </w:r>
      <w:r>
        <w:rPr/>
        <w:t>Schreibman et al., 2015</w:t>
      </w:r>
      <w:r>
        <w:rPr/>
        <w:t>）。该类模式涵盖早期介入丹佛模式、关键反应训练、共同注意—象征游戏—参与—调节（</w:t>
      </w:r>
      <w:r>
        <w:rPr/>
        <w:t>JASPER</w:t>
      </w:r>
      <w:r>
        <w:rPr/>
        <w:t xml:space="preserve">）以及 </w:t>
      </w:r>
      <w:r>
        <w:rPr/>
        <w:t xml:space="preserve">Project ImPACT </w:t>
      </w:r>
      <w:r>
        <w:rPr/>
        <w:t>等具体方案，其共同特征是在日常互动与游戏情境中嵌入教学目标，并以儿童的主动发起为强化的触发条件（肖石花、李晶</w:t>
      </w:r>
      <w:r>
        <w:rPr/>
        <w:t>, 2023</w:t>
      </w:r>
      <w:r>
        <w:rPr/>
        <w:t>）。</w:t>
      </w:r>
    </w:p>
    <w:p>
      <w:pPr>
        <w:pStyle w:val="Normal"/>
        <w:rPr/>
      </w:pPr>
      <w:r>
        <w:rPr/>
        <w:t>其疗效证据方面，</w:t>
      </w:r>
      <w:r>
        <w:rPr/>
        <w:t xml:space="preserve">Dawson </w:t>
      </w:r>
      <w:r>
        <w:rPr/>
        <w:t>等（</w:t>
      </w:r>
      <w:r>
        <w:rPr/>
        <w:t>2010</w:t>
      </w:r>
      <w:r>
        <w:rPr/>
        <w:t>）的随机对照试验具有标志性意义：</w:t>
      </w:r>
      <w:r>
        <w:rPr/>
        <w:t xml:space="preserve">48 </w:t>
      </w:r>
      <w:r>
        <w:rPr/>
        <w:t xml:space="preserve">名 </w:t>
      </w:r>
      <w:r>
        <w:rPr/>
        <w:t xml:space="preserve">18 </w:t>
      </w:r>
      <w:r>
        <w:rPr/>
        <w:t xml:space="preserve">至 </w:t>
      </w:r>
      <w:r>
        <w:rPr/>
        <w:t xml:space="preserve">30 </w:t>
      </w:r>
      <w:r>
        <w:rPr/>
        <w:t xml:space="preserve">月龄的 </w:t>
      </w:r>
      <w:r>
        <w:rPr/>
        <w:t xml:space="preserve">ASD </w:t>
      </w:r>
      <w:r>
        <w:rPr/>
        <w:t xml:space="preserve">幼儿被随机分配至 </w:t>
      </w:r>
      <w:r>
        <w:rPr/>
        <w:t xml:space="preserve">ESDM </w:t>
      </w:r>
      <w:r>
        <w:rPr/>
        <w:t>组或社区干预组，经过两年干预，</w:t>
      </w:r>
      <w:r>
        <w:rPr/>
        <w:t xml:space="preserve">ESDM </w:t>
      </w:r>
      <w:r>
        <w:rPr/>
        <w:t>组在认知、适应行为与诊断严重度上均显著优于对照组。</w:t>
      </w:r>
      <w:r>
        <w:rPr/>
        <w:t xml:space="preserve">Roberts </w:t>
      </w:r>
      <w:r>
        <w:rPr/>
        <w:t xml:space="preserve">与 </w:t>
      </w:r>
      <w:r>
        <w:rPr/>
        <w:t>Kaiser</w:t>
      </w:r>
      <w:r>
        <w:rPr/>
        <w:t>（</w:t>
      </w:r>
      <w:r>
        <w:rPr/>
        <w:t>2015</w:t>
      </w:r>
      <w:r>
        <w:rPr/>
        <w:t>）则证实，在日常互动中嵌入环境式语言教学策略对语言迟缓幼儿具有显著效果。这类证据共同支持一个判断：</w:t>
      </w:r>
      <w:r>
        <w:rPr>
          <w:b/>
        </w:rPr>
        <w:t>在自然情境中实施、并由日常互动者执行的干预，能够同时作用于能力习得与情境迁移两个环节</w:t>
      </w:r>
      <w:r>
        <w:rPr/>
        <w:t>，因而在结构上契合双向介入的要求。</w:t>
      </w:r>
    </w:p>
    <w:p>
      <w:pPr>
        <w:pStyle w:val="3"/>
        <w:rPr/>
      </w:pPr>
      <w:r>
        <w:rPr/>
        <w:t xml:space="preserve">5.2 </w:t>
      </w:r>
      <w:r>
        <w:rPr/>
        <w:t>效应量的争议与选择性报告</w:t>
      </w:r>
    </w:p>
    <w:p>
      <w:pPr>
        <w:pStyle w:val="Normal"/>
        <w:rPr/>
      </w:pPr>
      <w:r>
        <w:rPr/>
        <w:t>然而，近年来的证据再评估要求对上述乐观图景加以限定。</w:t>
      </w:r>
      <w:r>
        <w:rPr/>
        <w:t xml:space="preserve">Sandbank </w:t>
      </w:r>
      <w:r>
        <w:rPr/>
        <w:t>等（</w:t>
      </w:r>
      <w:r>
        <w:rPr/>
        <w:t>2020</w:t>
      </w:r>
      <w:r>
        <w:rPr/>
        <w:t xml:space="preserve">）针对 </w:t>
      </w:r>
      <w:r>
        <w:rPr/>
        <w:t xml:space="preserve">0–8 </w:t>
      </w:r>
      <w:r>
        <w:rPr/>
        <w:t xml:space="preserve">岁 </w:t>
      </w:r>
      <w:r>
        <w:rPr/>
        <w:t xml:space="preserve">ASD </w:t>
      </w:r>
      <w:r>
        <w:rPr/>
        <w:t xml:space="preserve">儿童干预研究的 </w:t>
      </w:r>
      <w:r>
        <w:rPr/>
        <w:t xml:space="preserve">Project AIM </w:t>
      </w:r>
      <w:r>
        <w:rPr/>
        <w:t>系列荟萃分析提示：当把研究质量指标（是否为随机对照设计、是否存在检测偏倚）纳入考虑后，所观察到的效应量大幅收窄，部分结局不再具有统计学显著性。</w:t>
      </w:r>
      <w:r>
        <w:rPr/>
        <w:t xml:space="preserve">Chow </w:t>
      </w:r>
      <w:r>
        <w:rPr/>
        <w:t>等（</w:t>
      </w:r>
      <w:r>
        <w:rPr/>
        <w:t>2022</w:t>
      </w:r>
      <w:r>
        <w:rPr/>
        <w:t>）进一步提供了该领域实证效应量分布的基准数据，提示多数干预研究所观测到的效应偏小，因而对结果的解释须参照领域内基准而非通用标准。</w:t>
      </w:r>
    </w:p>
    <w:p>
      <w:pPr>
        <w:pStyle w:val="Normal"/>
        <w:rPr/>
      </w:pPr>
      <w:r>
        <w:rPr/>
        <w:t>更为根本的问题在于证据基础的完整性。</w:t>
      </w:r>
      <w:r>
        <w:rPr/>
        <w:t xml:space="preserve">Sandbank </w:t>
      </w:r>
      <w:r>
        <w:rPr/>
        <w:t>等（</w:t>
      </w:r>
      <w:r>
        <w:rPr/>
        <w:t>2024</w:t>
      </w:r>
      <w:r>
        <w:rPr/>
        <w:t xml:space="preserve">）的多重检验发现，在临床试验注册平台上已完成注册的试验中，仅约 </w:t>
      </w:r>
      <w:r>
        <w:rPr/>
        <w:t xml:space="preserve">7% </w:t>
      </w:r>
      <w:r>
        <w:rPr/>
        <w:t>在注册平台更新了结果；选择性报告与未充分报告构成系统性偏倚。这意味着，任何基于已发表文献的效应估计都可能向上偏移。</w:t>
      </w:r>
    </w:p>
    <w:p>
      <w:pPr>
        <w:pStyle w:val="3"/>
        <w:rPr/>
      </w:pPr>
      <w:r>
        <w:rPr/>
        <w:t xml:space="preserve">5.3 </w:t>
      </w:r>
      <w:r>
        <w:rPr/>
        <w:t>对</w:t>
      </w:r>
      <w:r>
        <w:rPr/>
        <w:t>"</w:t>
      </w:r>
      <w:r>
        <w:rPr/>
        <w:t>整合提升疗效</w:t>
      </w:r>
      <w:r>
        <w:rPr/>
        <w:t>"</w:t>
      </w:r>
      <w:r>
        <w:rPr/>
        <w:t>这一论断的修正</w:t>
      </w:r>
    </w:p>
    <w:p>
      <w:pPr>
        <w:pStyle w:val="Normal"/>
        <w:rPr/>
      </w:pPr>
      <w:r>
        <w:rPr/>
        <w:t>上述证据对本文的论证具有建设性的约束作用。它提示：</w:t>
      </w:r>
      <w:r>
        <w:rPr>
          <w:b/>
        </w:rPr>
        <w:t>跨部门整合的收益，主要并非来自</w:t>
      </w:r>
      <w:r>
        <w:rPr>
          <w:b/>
        </w:rPr>
        <w:t>"</w:t>
      </w:r>
      <w:r>
        <w:rPr>
          <w:b/>
        </w:rPr>
        <w:t>增加了某种新的疗法</w:t>
      </w:r>
      <w:r>
        <w:rPr>
          <w:b/>
        </w:rPr>
        <w:t>"</w:t>
      </w:r>
      <w:r>
        <w:rPr>
          <w:b/>
        </w:rPr>
        <w:t>，而是来自减少三类损耗。</w:t>
      </w:r>
    </w:p>
    <w:p>
      <w:pPr>
        <w:pStyle w:val="Normal"/>
        <w:rPr/>
      </w:pPr>
      <w:r>
        <w:rPr/>
        <w:t>第一类是</w:t>
      </w:r>
      <w:r>
        <w:rPr>
          <w:b/>
        </w:rPr>
        <w:t>技能迁移损耗</w:t>
      </w:r>
      <w:r>
        <w:rPr/>
        <w:t>——当康复与学习在不同情境、由不同成人、依据不同计划进行时，儿童在诊室习得的技能需付出额外的迁移成本，且该成本随情境差异增大而上升。第二类是</w:t>
      </w:r>
      <w:r>
        <w:rPr>
          <w:b/>
        </w:rPr>
        <w:t>家庭路径成本</w:t>
      </w:r>
      <w:r>
        <w:rPr/>
        <w:t>——家庭在两套系统之间往返、重复评估、重复陈述、等待衔接所耗费的时间与经济资源，这部分成本不产生任何发展收益。第三类是</w:t>
      </w:r>
      <w:r>
        <w:rPr>
          <w:b/>
        </w:rPr>
        <w:t>目标冲突造成的无效重复</w:t>
      </w:r>
      <w:r>
        <w:rPr/>
        <w:t>——两套系统各自设定目标，可能导致同一时段内的训练内容相互矛盾，或在同一能力上重复投入而忽视其他领域。</w:t>
      </w:r>
    </w:p>
    <w:p>
      <w:pPr>
        <w:pStyle w:val="Normal"/>
        <w:rPr/>
      </w:pPr>
      <w:r>
        <w:rPr/>
        <w:t>这一修正性判断比</w:t>
      </w:r>
      <w:r>
        <w:rPr/>
        <w:t>"</w:t>
      </w:r>
      <w:r>
        <w:rPr/>
        <w:t>整合能提升疗效</w:t>
      </w:r>
      <w:r>
        <w:rPr/>
        <w:t>"</w:t>
      </w:r>
      <w:r>
        <w:rPr/>
        <w:t>更为保守，但也更具可辩护性，且对资源有限的法域更具操作性：</w:t>
      </w:r>
      <w:r>
        <w:rPr>
          <w:b/>
        </w:rPr>
        <w:t>降低损耗所需的制度改动（统一档案、共同拟定计划、交叉培训、明确转介规则）在成本上远低于新增治疗师编制，却可能释放被损耗掉的大量既有投入。</w:t>
      </w:r>
    </w:p>
    <w:p>
      <w:pPr>
        <w:pStyle w:val="3"/>
        <w:rPr/>
      </w:pPr>
      <w:r>
        <w:rPr/>
        <w:t xml:space="preserve">5.4 </w:t>
      </w:r>
      <w:r>
        <w:rPr/>
        <w:t>证据强度汇总</w:t>
      </w:r>
    </w:p>
    <w:p>
      <w:pPr>
        <w:pStyle w:val="Normal"/>
        <w:rPr/>
      </w:pPr>
      <w:r>
        <w:rPr>
          <w:b/>
        </w:rPr>
        <w:t xml:space="preserve">表 </w:t>
      </w:r>
      <w:r>
        <w:rPr>
          <w:b/>
        </w:rPr>
        <w:t>3</w:t>
      </w:r>
      <w:r>
        <w:rPr>
          <w:b/>
        </w:rPr>
        <w:t>　双向影响因子、作用路径与证据强度</w:t>
      </w:r>
    </w:p>
    <w:tbl>
      <w:tblPr>
        <w:tblStyle w:val="000015"/>
        <w:tblW w:w="9000" w:type="dxa"/>
        <w:jc w:val="left"/>
        <w:tblInd w:w="0" w:type="dxa"/>
        <w:tblLayout w:type="fixed"/>
        <w:tblCellMar>
          <w:top w:w="0" w:type="dxa"/>
          <w:left w:w="108" w:type="dxa"/>
          <w:bottom w:w="0" w:type="dxa"/>
          <w:right w:w="108" w:type="dxa"/>
        </w:tblCellMar>
      </w:tblPr>
      <w:tblGrid>
        <w:gridCol w:w="1800"/>
        <w:gridCol w:w="1800"/>
        <w:gridCol w:w="1800"/>
        <w:gridCol w:w="1800"/>
        <w:gridCol w:w="1800"/>
      </w:tblGrid>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作用方向</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影响因子</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作用路径</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证据强度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关键调节变量</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 → 学习</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感觉调节</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扩大可耐受刺激窗口，支撑课堂参与</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机制明确，量化证据有限</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教室环境补偿程度</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 → 学习</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姿势与动作</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支撑坐姿参与、书写与操作</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中等（含纵向关联证据）</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是否共病运动障碍</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 → 学习</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共同注意</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开启</w:t>
            </w:r>
            <w:r>
              <w:rPr>
                <w:rFonts w:eastAsia="微软雅黑" w:cs="Arial"/>
                <w:lang w:val="en-US" w:eastAsia="zh-CN" w:bidi="ar-SA"/>
              </w:rPr>
              <w:t>"</w:t>
            </w:r>
            <w:r>
              <w:rPr>
                <w:rFonts w:ascii="Arial" w:hAnsi="Arial" w:cs="Arial"/>
                <w:lang w:val="en-US" w:eastAsia="zh-CN" w:bidi="ar-SA"/>
              </w:rPr>
              <w:t>从他人处学习</w:t>
            </w:r>
            <w:r>
              <w:rPr>
                <w:rFonts w:eastAsia="微软雅黑" w:cs="Arial"/>
                <w:lang w:val="en-US" w:eastAsia="zh-CN" w:bidi="ar-SA"/>
              </w:rPr>
              <w:t>"</w:t>
            </w:r>
            <w:r>
              <w:rPr>
                <w:rFonts w:ascii="Arial" w:hAnsi="Arial" w:cs="Arial"/>
                <w:lang w:val="en-US" w:eastAsia="zh-CN" w:bidi="ar-SA"/>
              </w:rPr>
              <w:t>的通道</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中高（</w:t>
            </w:r>
            <w:r>
              <w:rPr>
                <w:rFonts w:eastAsia="微软雅黑" w:cs="Arial"/>
                <w:lang w:val="en-US" w:eastAsia="zh-CN" w:bidi="ar-SA"/>
              </w:rPr>
              <w:t xml:space="preserve">NDBI </w:t>
            </w:r>
            <w:r>
              <w:rPr>
                <w:rFonts w:ascii="Arial" w:hAnsi="Arial" w:cs="Arial"/>
                <w:lang w:val="en-US" w:eastAsia="zh-CN" w:bidi="ar-SA"/>
              </w:rPr>
              <w:t>核心靶点）</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起始年龄</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 → 学习</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语言理解</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决定学业成就与长期适应</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高（</w:t>
            </w:r>
            <w:r>
              <w:rPr>
                <w:rFonts w:eastAsia="微软雅黑" w:cs="Arial"/>
                <w:lang w:val="en-US" w:eastAsia="zh-CN" w:bidi="ar-SA"/>
              </w:rPr>
              <w:t xml:space="preserve">17 </w:t>
            </w:r>
            <w:r>
              <w:rPr>
                <w:rFonts w:ascii="Arial" w:hAnsi="Arial" w:cs="Arial"/>
                <w:lang w:val="en-US" w:eastAsia="zh-CN" w:bidi="ar-SA"/>
              </w:rPr>
              <w:t>年追踪证据）</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起始语言水平</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康复 → 学习</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执行功能与情绪调节</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支撑规则遵守，减少行为事件</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中等</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任务与能力匹配度</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学习 → 康复</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情境密度</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提供数量级更大的练习机会</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机制明确，直接比较有限</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师生比、课时结构</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学习 → 康复</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动机与自我效能</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成功经验减少逃避与抗拒</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中等</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任务难度梯度设计</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学习 → 康复</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泛化与维持</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促成技能跨情境调用</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中高（多项系统综述支持）</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家庭与学校是否同步</w:t>
            </w:r>
          </w:p>
        </w:tc>
      </w:tr>
    </w:tbl>
    <w:p>
      <w:pPr>
        <w:pStyle w:val="Normal"/>
        <w:rPr/>
      </w:pPr>
      <w:r>
        <w:rPr/>
      </w:r>
    </w:p>
    <w:p>
      <w:pPr>
        <w:pStyle w:val="Normal"/>
        <w:pBdr>
          <w:bottom w:val="single" w:sz="8" w:space="0" w:color="020201"/>
        </w:pBdr>
        <w:rPr/>
      </w:pPr>
      <w:r>
        <w:rPr/>
      </w:r>
    </w:p>
    <w:p>
      <w:pPr>
        <w:pStyle w:val="2"/>
        <w:rPr/>
      </w:pPr>
      <w:r>
        <w:rPr/>
        <w:t xml:space="preserve">6. </w:t>
      </w:r>
      <w:r>
        <w:rPr/>
        <w:t>讨论：困境的深层结构</w:t>
      </w:r>
    </w:p>
    <w:p>
      <w:pPr>
        <w:pStyle w:val="3"/>
        <w:rPr/>
      </w:pPr>
      <w:r>
        <w:rPr/>
        <w:t xml:space="preserve">6.1 </w:t>
      </w:r>
      <w:r>
        <w:rPr/>
        <w:t>部门分割的实质是目标函数冲突</w:t>
      </w:r>
    </w:p>
    <w:p>
      <w:pPr>
        <w:pStyle w:val="Normal"/>
        <w:rPr/>
      </w:pPr>
      <w:r>
        <w:rPr/>
        <w:t>"</w:t>
      </w:r>
      <w:r>
        <w:rPr/>
        <w:t>医教分离</w:t>
      </w:r>
      <w:r>
        <w:rPr/>
        <w:t>"</w:t>
      </w:r>
      <w:r>
        <w:rPr/>
        <w:t>常被描述为沟通或协调问题，但其深层结构是两套系统的</w:t>
      </w:r>
      <w:r>
        <w:rPr>
          <w:b/>
        </w:rPr>
        <w:t>目标函数不同</w:t>
      </w:r>
      <w:r>
        <w:rPr/>
        <w:t>。卫生系统优化的是功能改善与障碍减轻，教育系统优化的是课程达成与群体秩序。当两者作用于同一儿童且缺乏统一计划时，冲突不可避免：康复师可能主张允许儿童离座活动以满足感觉调节需求，教师则要求保持坐姿以维持课堂秩序。两种要求各自合理，但叠加于同一儿童即构成矛盾指令。</w:t>
      </w:r>
    </w:p>
    <w:p>
      <w:pPr>
        <w:pStyle w:val="Normal"/>
        <w:rPr/>
      </w:pPr>
      <w:r>
        <w:rPr/>
        <w:t>由此可得本文的第一项推论（</w:t>
      </w:r>
      <w:r>
        <w:rPr>
          <w:b/>
        </w:rPr>
        <w:t>推论</w:t>
      </w:r>
      <w:r>
        <w:rPr/>
        <w:t>）：</w:t>
      </w:r>
      <w:r>
        <w:rPr>
          <w:b/>
        </w:rPr>
        <w:t>需要统一的不是机构，而是个案层面的目标函数。</w:t>
      </w:r>
      <w:r>
        <w:rPr/>
        <w:t xml:space="preserve"> 建立由跨专业团队共同拟定的个别化计划，其价值不在于消除分歧，而在于把两个目标函数在同一份文件上作显式的权衡与排序，使取舍成为可讨论、可追责的程序，而非隐性的相互抵消。</w:t>
      </w:r>
    </w:p>
    <w:p>
      <w:pPr>
        <w:pStyle w:val="3"/>
        <w:rPr/>
      </w:pPr>
      <w:r>
        <w:rPr/>
        <w:t xml:space="preserve">6.2 </w:t>
      </w:r>
      <w:r>
        <w:rPr/>
        <w:t>人力经济学：交叉培训优于单纯扩编</w:t>
      </w:r>
    </w:p>
    <w:p>
      <w:pPr>
        <w:pStyle w:val="Normal"/>
        <w:rPr/>
      </w:pPr>
      <w:r>
        <w:rPr/>
        <w:t>四国共同面临康复师与特教教师的数量短缺。然而，在效应量普遍偏小的现实约束下，单纯增加专业人力未必带来等比例的结局改善。相较之下，使特教教师掌握基础的感觉调节与正向行为支持策略、使康复师理解课程结构与集体教学的组织逻辑，是在</w:t>
      </w:r>
      <w:r>
        <w:rPr>
          <w:b/>
        </w:rPr>
        <w:t>不增加编制的前提下提升情境共享度</w:t>
      </w:r>
      <w:r>
        <w:rPr/>
        <w:t>的路径。</w:t>
      </w:r>
    </w:p>
    <w:p>
      <w:pPr>
        <w:pStyle w:val="Normal"/>
        <w:rPr/>
      </w:pPr>
      <w:r>
        <w:rPr/>
        <w:t>其经济学含义可以表述为：交叉培训改变的是单位人力的产出效率，而非人力总量。对于财政空间有限、且短期内难以大规模扩编的法域，这一路径的边际效益显著高于单纯扩编。当然，交叉培训存在明确的边界——它不能替代专业评估与高强度专门干预，其定位应是在专业指导之下扩展支持的可及面。</w:t>
      </w:r>
    </w:p>
    <w:p>
      <w:pPr>
        <w:pStyle w:val="3"/>
        <w:rPr/>
      </w:pPr>
      <w:r>
        <w:rPr/>
        <w:t xml:space="preserve">6.3 </w:t>
      </w:r>
      <w:r>
        <w:rPr/>
        <w:t>文化—病耻感的时序效应</w:t>
      </w:r>
    </w:p>
    <w:p>
      <w:pPr>
        <w:pStyle w:val="Normal"/>
        <w:rPr/>
      </w:pPr>
      <w:r>
        <w:rPr/>
        <w:t>病耻感与认知不足的作用常被低估为</w:t>
      </w:r>
      <w:r>
        <w:rPr/>
        <w:t>"</w:t>
      </w:r>
      <w:r>
        <w:rPr/>
        <w:t>降低了接受度</w:t>
      </w:r>
      <w:r>
        <w:rPr/>
        <w:t>"</w:t>
      </w:r>
      <w:r>
        <w:rPr/>
        <w:t>，但本文认为其更重要的后果在于</w:t>
      </w:r>
      <w:r>
        <w:rPr>
          <w:b/>
        </w:rPr>
        <w:t>延迟首诊</w:t>
      </w:r>
      <w:r>
        <w:rPr/>
        <w:t xml:space="preserve">。由于 </w:t>
      </w:r>
      <w:r>
        <w:rPr/>
        <w:t xml:space="preserve">Pickles </w:t>
      </w:r>
      <w:r>
        <w:rPr/>
        <w:t>等（</w:t>
      </w:r>
      <w:r>
        <w:rPr/>
        <w:t>2014</w:t>
      </w:r>
      <w:r>
        <w:rPr/>
        <w:t xml:space="preserve">）已显示 </w:t>
      </w:r>
      <w:r>
        <w:rPr/>
        <w:t xml:space="preserve">2 </w:t>
      </w:r>
      <w:r>
        <w:rPr/>
        <w:t xml:space="preserve">至 </w:t>
      </w:r>
      <w:r>
        <w:rPr/>
        <w:t xml:space="preserve">6 </w:t>
      </w:r>
      <w:r>
        <w:rPr/>
        <w:t>岁为语言发展可塑性最高的窗口，因回避而错过的每一年都将压缩后续干预的边际收益空间。换言之，病耻感通过作用于</w:t>
      </w:r>
      <w:r>
        <w:rPr/>
        <w:t>"</w:t>
      </w:r>
      <w:r>
        <w:rPr/>
        <w:t>起始年龄</w:t>
      </w:r>
      <w:r>
        <w:rPr/>
        <w:t>"</w:t>
      </w:r>
      <w:r>
        <w:rPr/>
        <w:t>这一上游调节变量，间接削弱了其后所有干预环节的效果。</w:t>
      </w:r>
    </w:p>
    <w:p>
      <w:pPr>
        <w:pStyle w:val="Normal"/>
        <w:rPr/>
      </w:pPr>
      <w:r>
        <w:rPr/>
        <w:t>由此可得第二项推论（</w:t>
      </w:r>
      <w:r>
        <w:rPr>
          <w:b/>
        </w:rPr>
        <w:t>推论</w:t>
      </w:r>
      <w:r>
        <w:rPr/>
        <w:t>）：</w:t>
      </w:r>
      <w:r>
        <w:rPr>
          <w:b/>
        </w:rPr>
        <w:t>公众科普与社会倡导在成本效益上应被计入干预本身，而非视为外围的宣传事务。</w:t>
      </w:r>
      <w:r>
        <w:rPr/>
        <w:t xml:space="preserve"> 这一点在文莱与马来西亚的乡村与原住民社区、以及中国的欠发达地区具有同等重要性，且其实施成本远低于任何一项临床干预。</w:t>
      </w:r>
    </w:p>
    <w:p>
      <w:pPr>
        <w:pStyle w:val="3"/>
        <w:rPr/>
      </w:pPr>
      <w:r>
        <w:rPr/>
        <w:t xml:space="preserve">6.4 </w:t>
      </w:r>
      <w:r>
        <w:rPr/>
        <w:t>尺度约束：服务模式必须被地理与人口条件决定</w:t>
      </w:r>
    </w:p>
    <w:p>
      <w:pPr>
        <w:pStyle w:val="Normal"/>
        <w:rPr/>
      </w:pPr>
      <w:r>
        <w:rPr/>
        <w:t>新加坡的高密度中心模式建立在城市国家的高人口密度与短通勤半径之上，其可达性前提是家庭能够在可接受的时间成本内抵达服务机构。中国与马来西亚国土广阔、资源分布分散，直接复制中心模式将导致偏远家庭的交通与误工成本吞噬实际获得的干预剂量——</w:t>
      </w:r>
      <w:r>
        <w:rPr>
          <w:b/>
        </w:rPr>
        <w:t>形式上的服务可及并不等于实质上的剂量可及。</w:t>
      </w:r>
    </w:p>
    <w:p>
      <w:pPr>
        <w:pStyle w:val="Normal"/>
        <w:rPr/>
      </w:pPr>
      <w:r>
        <w:rPr/>
        <w:t>因此，对国土广阔而资源分散的法域，适配方向是社区嵌入式与家庭为主的低门槛模式。这一判断与家长介导干预的证据逻辑内在一致：既然其靶点是日常互动生态，它便天然适配专业人力稀疏的环境。反之，对文莱这类人口高度集中、治理链条短的小型法域，则宜聚焦跨部门试点的精细化，并通过与区域国家共享评估工具与培训资源来克服本地循证生产能力的不足。</w:t>
      </w:r>
    </w:p>
    <w:p>
      <w:pPr>
        <w:pStyle w:val="3"/>
        <w:rPr/>
      </w:pPr>
      <w:r>
        <w:rPr/>
        <w:t xml:space="preserve">6.5 </w:t>
      </w:r>
      <w:r>
        <w:rPr/>
        <w:t>数据系统与问责机制：被低估的基础设施</w:t>
      </w:r>
    </w:p>
    <w:p>
      <w:pPr>
        <w:pStyle w:val="Normal"/>
        <w:rPr/>
      </w:pPr>
      <w:r>
        <w:rPr/>
        <w:t>比较四国可发现一个共性薄弱环节：</w:t>
      </w:r>
      <w:r>
        <w:rPr>
          <w:b/>
        </w:rPr>
        <w:t>缺乏跨部门的统一数据基础设施</w:t>
      </w:r>
      <w:r>
        <w:rPr/>
        <w:t>。当筛查数据存于卫生系统、教育安置数据存于教育系统、救助数据存于残联或福利系统时，任何关于</w:t>
      </w:r>
      <w:r>
        <w:rPr/>
        <w:t>"</w:t>
      </w:r>
      <w:r>
        <w:rPr/>
        <w:t>服务链条是否连续</w:t>
      </w:r>
      <w:r>
        <w:rPr/>
        <w:t>"</w:t>
      </w:r>
      <w:r>
        <w:rPr/>
        <w:t>的判断都无法被检验，政策调整也就失去了反馈回路。</w:t>
      </w:r>
    </w:p>
    <w:p>
      <w:pPr>
        <w:pStyle w:val="Normal"/>
        <w:rPr/>
      </w:pPr>
      <w:r>
        <w:rPr/>
        <w:t>由此可得第三项推论（</w:t>
      </w:r>
      <w:r>
        <w:rPr>
          <w:b/>
        </w:rPr>
        <w:t>推论</w:t>
      </w:r>
      <w:r>
        <w:rPr/>
        <w:t>）：最小数据集的建设应被视为整合的</w:t>
      </w:r>
      <w:r>
        <w:rPr>
          <w:b/>
        </w:rPr>
        <w:t>前置基础设施</w:t>
      </w:r>
      <w:r>
        <w:rPr/>
        <w:t>而非附属产物。其至少应包含：症状与发育史、家庭与学校功能水平、共病筛查结果、教育支持措施、干预剂量与类型、阶段性功能结局。值得注意的是，这一主张与东盟层面推动的方向相吻合——区域协作在现阶段更适合推进数据标准与转介规则的一致化，而非统一某一种训练品牌。</w:t>
      </w:r>
    </w:p>
    <w:p>
      <w:pPr>
        <w:pStyle w:val="3"/>
        <w:rPr/>
      </w:pPr>
      <w:r>
        <w:rPr/>
        <w:t xml:space="preserve">6.6 </w:t>
      </w:r>
      <w:r>
        <w:rPr/>
        <w:t>证据本地化缺口：一项被低估的研究议程</w:t>
      </w:r>
    </w:p>
    <w:p>
      <w:pPr>
        <w:pStyle w:val="Normal"/>
        <w:rPr/>
      </w:pPr>
      <w:r>
        <w:rPr/>
        <w:t>选择性报告问题（</w:t>
      </w:r>
      <w:r>
        <w:rPr/>
        <w:t>Sandbank et al., 2024</w:t>
      </w:r>
      <w:r>
        <w:rPr/>
        <w:t>）叠加四国本地随机对照试验的稀缺，意味着当前实践大量建立在</w:t>
      </w:r>
      <w:r>
        <w:rPr>
          <w:b/>
        </w:rPr>
        <w:t>异地证据的外推</w:t>
      </w:r>
      <w:r>
        <w:rPr/>
        <w:t>之上。外推本身并非不可接受，但须满足两项条件：目标人群的发展特征、家庭生态与服务结构具有可比性；且实施过程被系统评估。目前四国中具备此类过程评估者寥寥。</w:t>
      </w:r>
    </w:p>
    <w:p>
      <w:pPr>
        <w:pStyle w:val="Normal"/>
        <w:rPr/>
      </w:pPr>
      <w:r>
        <w:rPr/>
        <w:t>因此本文将</w:t>
      </w:r>
      <w:r>
        <w:rPr/>
        <w:t>"</w:t>
      </w:r>
      <w:r>
        <w:rPr/>
        <w:t>本地化实施研究</w:t>
      </w:r>
      <w:r>
        <w:rPr/>
        <w:t>"</w:t>
      </w:r>
      <w:r>
        <w:rPr/>
        <w:t>列为区域研究议程的优先项，其优先次序甚至高于新增疗效研究——因为前者回答的是</w:t>
      </w:r>
      <w:r>
        <w:rPr/>
        <w:t>"</w:t>
      </w:r>
      <w:r>
        <w:rPr/>
        <w:t>已有效果的干预如何在本地条件下实现</w:t>
      </w:r>
      <w:r>
        <w:rPr/>
        <w:t>"</w:t>
      </w:r>
      <w:r>
        <w:rPr/>
        <w:t>，后者回答的是</w:t>
      </w:r>
      <w:r>
        <w:rPr/>
        <w:t>"</w:t>
      </w:r>
      <w:r>
        <w:rPr/>
        <w:t>何种干预有效</w:t>
      </w:r>
      <w:r>
        <w:rPr/>
        <w:t>"</w:t>
      </w:r>
      <w:r>
        <w:rPr/>
        <w:t>，而在资源约束下，前者的政策回报更为直接。</w:t>
      </w:r>
    </w:p>
    <w:p>
      <w:pPr>
        <w:pStyle w:val="Normal"/>
        <w:pBdr>
          <w:bottom w:val="single" w:sz="8" w:space="0" w:color="020201"/>
        </w:pBdr>
        <w:rPr/>
      </w:pPr>
      <w:r>
        <w:rPr/>
      </w:r>
    </w:p>
    <w:p>
      <w:pPr>
        <w:pStyle w:val="2"/>
        <w:rPr/>
      </w:pPr>
      <w:r>
        <w:rPr/>
        <w:t xml:space="preserve">7. </w:t>
      </w:r>
      <w:r>
        <w:rPr/>
        <w:t>建议</w:t>
      </w:r>
    </w:p>
    <w:p>
      <w:pPr>
        <w:pStyle w:val="3"/>
        <w:rPr/>
      </w:pPr>
      <w:r>
        <w:rPr/>
        <w:t xml:space="preserve">7.1 </w:t>
      </w:r>
      <w:r>
        <w:rPr/>
        <w:t>治理层面</w:t>
      </w:r>
    </w:p>
    <w:p>
      <w:pPr>
        <w:pStyle w:val="Normal"/>
        <w:rPr/>
      </w:pPr>
      <w:r>
        <w:rPr>
          <w:b/>
        </w:rPr>
        <w:t>（</w:t>
      </w:r>
      <w:r>
        <w:rPr>
          <w:b/>
        </w:rPr>
        <w:t>1</w:t>
      </w:r>
      <w:r>
        <w:rPr>
          <w:b/>
        </w:rPr>
        <w:t>）建立跨部门常态协同与统一档案。</w:t>
      </w:r>
      <w:r>
        <w:rPr/>
        <w:t xml:space="preserve"> 由卫生、教育、社会福利或残联等部门共同确定转介标准、评估工具与个案档案格式，打通</w:t>
      </w:r>
      <w:r>
        <w:rPr/>
        <w:t>"</w:t>
      </w:r>
      <w:r>
        <w:rPr/>
        <w:t>筛查—评估—康复—学前特教—小学融合</w:t>
      </w:r>
      <w:r>
        <w:rPr/>
        <w:t>"</w:t>
      </w:r>
      <w:r>
        <w:rPr/>
        <w:t xml:space="preserve">的连续链条。中国的医教结合地方试点、马来西亚 </w:t>
      </w:r>
      <w:r>
        <w:rPr/>
        <w:t xml:space="preserve">3PK </w:t>
      </w:r>
      <w:r>
        <w:rPr/>
        <w:t>的校内跨学科团队，可视为该方向在不同制度条件下的两种实现形式。</w:t>
      </w:r>
    </w:p>
    <w:p>
      <w:pPr>
        <w:pStyle w:val="Normal"/>
        <w:rPr/>
      </w:pPr>
      <w:r>
        <w:rPr>
          <w:b/>
        </w:rPr>
        <w:t>（</w:t>
      </w:r>
      <w:r>
        <w:rPr>
          <w:b/>
        </w:rPr>
        <w:t>2</w:t>
      </w:r>
      <w:r>
        <w:rPr>
          <w:b/>
        </w:rPr>
        <w:t>）以强度分层配置稀缺资源。</w:t>
      </w:r>
      <w:r>
        <w:rPr/>
        <w:t xml:space="preserve"> 借鉴新加坡按需要强度分层的思路，使低程度需要在普通园所内部解决，高程度需要集中至专门中心，避免所有需求同时挤向高强度资源，从而缓解等候时间并提升资源配置的边际效率。</w:t>
      </w:r>
    </w:p>
    <w:p>
      <w:pPr>
        <w:pStyle w:val="Normal"/>
        <w:rPr/>
      </w:pPr>
      <w:r>
        <w:rPr>
          <w:b/>
        </w:rPr>
        <w:t>（</w:t>
      </w:r>
      <w:r>
        <w:rPr>
          <w:b/>
        </w:rPr>
        <w:t>3</w:t>
      </w:r>
      <w:r>
        <w:rPr>
          <w:b/>
        </w:rPr>
        <w:t>）将科普与反病耻纳入干预预算。</w:t>
      </w:r>
      <w:r>
        <w:rPr/>
        <w:t xml:space="preserve"> 因其作用于起始年龄这一上游变量，其成本效益高于多数下游环节。</w:t>
      </w:r>
    </w:p>
    <w:p>
      <w:pPr>
        <w:pStyle w:val="3"/>
        <w:rPr/>
      </w:pPr>
      <w:r>
        <w:rPr/>
        <w:t xml:space="preserve">7.2 </w:t>
      </w:r>
      <w:r>
        <w:rPr/>
        <w:t>服务模式层面</w:t>
      </w:r>
    </w:p>
    <w:p>
      <w:pPr>
        <w:pStyle w:val="Normal"/>
        <w:rPr/>
      </w:pPr>
      <w:r>
        <w:rPr>
          <w:b/>
        </w:rPr>
        <w:t>（</w:t>
      </w:r>
      <w:r>
        <w:rPr>
          <w:b/>
        </w:rPr>
        <w:t>1</w:t>
      </w:r>
      <w:r>
        <w:rPr>
          <w:b/>
        </w:rPr>
        <w:t>）推行一体化的个别化计划。</w:t>
      </w:r>
      <w:r>
        <w:rPr/>
        <w:t xml:space="preserve"> 康复师与特教教师共同拟定目标，且每一项目标必须写明</w:t>
      </w:r>
      <w:r>
        <w:rPr/>
        <w:t>"</w:t>
      </w:r>
      <w:r>
        <w:rPr/>
        <w:t>在何种日常情境中练习、由谁执行、如何评价</w:t>
      </w:r>
      <w:r>
        <w:rPr/>
        <w:t>"</w:t>
      </w:r>
      <w:r>
        <w:rPr/>
        <w:t>，使泛化成为计划之内的安排而非期望之中的结果。</w:t>
      </w:r>
    </w:p>
    <w:p>
      <w:pPr>
        <w:pStyle w:val="Normal"/>
        <w:rPr/>
      </w:pPr>
      <w:r>
        <w:rPr>
          <w:b/>
        </w:rPr>
        <w:t>（</w:t>
      </w:r>
      <w:r>
        <w:rPr>
          <w:b/>
        </w:rPr>
        <w:t>2</w:t>
      </w:r>
      <w:r>
        <w:rPr>
          <w:b/>
        </w:rPr>
        <w:t>）优先采用自然情境实施的模式。</w:t>
      </w:r>
      <w:r>
        <w:rPr/>
        <w:t xml:space="preserve"> </w:t>
      </w:r>
      <w:r>
        <w:rPr/>
        <w:t xml:space="preserve">NDBI </w:t>
      </w:r>
      <w:r>
        <w:rPr/>
        <w:t xml:space="preserve">类方案在设计上即兼顾能力习得与情境迁移，是双向介入的天然载体；但其落地关键在于实施 </w:t>
      </w:r>
      <w:r>
        <w:rPr/>
        <w:t xml:space="preserve">fidelity </w:t>
      </w:r>
      <w:r>
        <w:rPr/>
        <w:t>与照护者教练，而非方案名称的引入。</w:t>
      </w:r>
    </w:p>
    <w:p>
      <w:pPr>
        <w:pStyle w:val="Normal"/>
        <w:rPr/>
      </w:pPr>
      <w:r>
        <w:rPr>
          <w:b/>
        </w:rPr>
        <w:t>（</w:t>
      </w:r>
      <w:r>
        <w:rPr>
          <w:b/>
        </w:rPr>
        <w:t>3</w:t>
      </w:r>
      <w:r>
        <w:rPr>
          <w:b/>
        </w:rPr>
        <w:t>）明确家长介导干预的定位与边界。</w:t>
      </w:r>
      <w:r>
        <w:rPr/>
        <w:t xml:space="preserve"> 以改善日常互动质量为核心目标，同步监测照护者压力水平，</w:t>
      </w:r>
      <w:r>
        <w:rPr>
          <w:b/>
        </w:rPr>
        <w:t>不得以此为理由削减专业服务供给</w:t>
      </w:r>
      <w:r>
        <w:rPr/>
        <w:t>。在中国县域、马来西亚东马与文莱这类专业人力稀疏的环境中，家长介导干预是扩展可及面的手段，而非替代专业投入的借口。</w:t>
      </w:r>
    </w:p>
    <w:p>
      <w:pPr>
        <w:pStyle w:val="3"/>
        <w:rPr/>
      </w:pPr>
      <w:r>
        <w:rPr/>
        <w:t xml:space="preserve">7.3 </w:t>
      </w:r>
      <w:r>
        <w:rPr/>
        <w:t>人力层面</w:t>
      </w:r>
    </w:p>
    <w:p>
      <w:pPr>
        <w:pStyle w:val="Normal"/>
        <w:rPr/>
      </w:pPr>
      <w:r>
        <w:rPr/>
        <w:t>开展以情境共享度提升为目标的跨专业交叉培训，而非以证书数量为目标的培训。具体可采三种形式：康复师进入园所进行嵌入式示范与教练；特教教师在康复机构完成短期轮转；两类人员在个案会议上共同复盘。培训成效的评价指标应为</w:t>
      </w:r>
      <w:r>
        <w:rPr/>
        <w:t>"</w:t>
      </w:r>
      <w:r>
        <w:rPr/>
        <w:t>共同拟定目标的比例</w:t>
      </w:r>
      <w:r>
        <w:rPr/>
        <w:t>"</w:t>
      </w:r>
      <w:r>
        <w:rPr/>
        <w:t>与</w:t>
      </w:r>
      <w:r>
        <w:rPr/>
        <w:t>"</w:t>
      </w:r>
      <w:r>
        <w:rPr/>
        <w:t>目标在日常情境中被执行的频次</w:t>
      </w:r>
      <w:r>
        <w:rPr/>
        <w:t>"</w:t>
      </w:r>
      <w:r>
        <w:rPr/>
        <w:t>，而非培训时数。</w:t>
      </w:r>
    </w:p>
    <w:p>
      <w:pPr>
        <w:pStyle w:val="3"/>
        <w:rPr/>
      </w:pPr>
      <w:r>
        <w:rPr/>
        <w:t xml:space="preserve">7.4 </w:t>
      </w:r>
      <w:r>
        <w:rPr/>
        <w:t>数据与循证层面</w:t>
      </w:r>
    </w:p>
    <w:p>
      <w:pPr>
        <w:pStyle w:val="Normal"/>
        <w:rPr/>
      </w:pPr>
      <w:r>
        <w:rPr/>
        <w:t>建立跨部门的最小数据集与统一转介规则；对证据薄弱法域采取</w:t>
      </w:r>
      <w:r>
        <w:rPr/>
        <w:t>"</w:t>
      </w:r>
      <w:r>
        <w:rPr/>
        <w:t xml:space="preserve">适应性移植 </w:t>
      </w:r>
      <w:r>
        <w:rPr/>
        <w:t xml:space="preserve">+ </w:t>
      </w:r>
      <w:r>
        <w:rPr/>
        <w:t>过程评估</w:t>
      </w:r>
      <w:r>
        <w:rPr/>
        <w:t>"</w:t>
      </w:r>
      <w:r>
        <w:rPr/>
        <w:t>路径，预先开展语言、宗教文化与照护者负担的适配研究，并以可行性、可接受性与功能结局作为核心指标。</w:t>
      </w:r>
    </w:p>
    <w:p>
      <w:pPr>
        <w:pStyle w:val="3"/>
        <w:rPr/>
      </w:pPr>
      <w:r>
        <w:rPr/>
        <w:t xml:space="preserve">7.5 </w:t>
      </w:r>
      <w:r>
        <w:rPr/>
        <w:t>因地制宜的策略矩阵</w:t>
      </w:r>
    </w:p>
    <w:p>
      <w:pPr>
        <w:pStyle w:val="Normal"/>
        <w:rPr/>
      </w:pPr>
      <w:r>
        <w:rPr>
          <w:b/>
        </w:rPr>
        <w:t xml:space="preserve">表 </w:t>
      </w:r>
      <w:r>
        <w:rPr>
          <w:b/>
        </w:rPr>
        <w:t>4</w:t>
      </w:r>
      <w:r>
        <w:rPr>
          <w:b/>
        </w:rPr>
        <w:t>　不同尺度条件下的适配策略</w:t>
      </w:r>
    </w:p>
    <w:tbl>
      <w:tblPr>
        <w:tblStyle w:val="000015"/>
        <w:tblW w:w="7200" w:type="dxa"/>
        <w:jc w:val="left"/>
        <w:tblInd w:w="0" w:type="dxa"/>
        <w:tblLayout w:type="fixed"/>
        <w:tblCellMar>
          <w:top w:w="0" w:type="dxa"/>
          <w:left w:w="108" w:type="dxa"/>
          <w:bottom w:w="0" w:type="dxa"/>
          <w:right w:w="108" w:type="dxa"/>
        </w:tblCellMar>
      </w:tblPr>
      <w:tblGrid>
        <w:gridCol w:w="1800"/>
        <w:gridCol w:w="1800"/>
        <w:gridCol w:w="1800"/>
        <w:gridCol w:w="1799"/>
      </w:tblGrid>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条件类型</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代表法域或区域</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优先策略</w:t>
            </w:r>
          </w:p>
        </w:tc>
        <w:tc>
          <w:tcPr>
            <w:tcW w:w="1799"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应避免的做法</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高人口密度、财政充裕</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新加坡及各国大城市</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强度分层、园所内多学科团队</w:t>
            </w:r>
          </w:p>
        </w:tc>
        <w:tc>
          <w:tcPr>
            <w:tcW w:w="1799"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以其整体模式为模板向外复制</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国土广阔、资源分散</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中国与马来西亚的广大地区</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社区嵌入、家庭为主、远程教练</w:t>
            </w:r>
          </w:p>
        </w:tc>
        <w:tc>
          <w:tcPr>
            <w:tcW w:w="1799"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直接复制高密度中心模式</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人口规模小、治理链条短</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文莱</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小而精的跨部门试点、区域共享评估与培训资源</w:t>
            </w:r>
          </w:p>
        </w:tc>
        <w:tc>
          <w:tcPr>
            <w:tcW w:w="1799"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等待本地大样本证据积累后再行动</w:t>
            </w:r>
          </w:p>
        </w:tc>
      </w:tr>
      <w:tr>
        <w:trPr/>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专业人力稀疏</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各国农村与偏远地区</w:t>
            </w:r>
          </w:p>
        </w:tc>
        <w:tc>
          <w:tcPr>
            <w:tcW w:w="1800"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家长介导干预、跨专业交叉培训、远程督导</w:t>
            </w:r>
          </w:p>
        </w:tc>
        <w:tc>
          <w:tcPr>
            <w:tcW w:w="1799" w:type="dxa"/>
            <w:tcBorders/>
            <w:vAlign w:val="center"/>
          </w:tcPr>
          <w:p>
            <w:pPr>
              <w:pStyle w:val="Normal"/>
              <w:widowControl w:val="false"/>
              <w:spacing w:before="60" w:after="60"/>
              <w:rPr>
                <w:rFonts w:ascii="Arial" w:hAnsi="Arial" w:eastAsia="微软雅黑" w:cs="Arial"/>
                <w:lang w:val="en-US" w:eastAsia="zh-CN" w:bidi="ar-SA"/>
              </w:rPr>
            </w:pPr>
            <w:r>
              <w:rPr>
                <w:rFonts w:ascii="Arial" w:hAnsi="Arial" w:cs="Arial"/>
                <w:lang w:val="en-US" w:eastAsia="zh-CN" w:bidi="ar-SA"/>
              </w:rPr>
              <w:t>以家庭干预替代专业评估与诊断</w:t>
            </w:r>
          </w:p>
        </w:tc>
      </w:tr>
    </w:tbl>
    <w:p>
      <w:pPr>
        <w:pStyle w:val="Normal"/>
        <w:rPr/>
      </w:pPr>
      <w:r>
        <w:rPr/>
      </w:r>
    </w:p>
    <w:p>
      <w:pPr>
        <w:pStyle w:val="Normal"/>
        <w:pBdr>
          <w:bottom w:val="single" w:sz="8" w:space="0" w:color="020201"/>
        </w:pBdr>
        <w:rPr/>
      </w:pPr>
      <w:r>
        <w:rPr/>
      </w:r>
    </w:p>
    <w:p>
      <w:pPr>
        <w:pStyle w:val="2"/>
        <w:rPr/>
      </w:pPr>
      <w:r>
        <w:rPr/>
        <w:t xml:space="preserve">8. </w:t>
      </w:r>
      <w:r>
        <w:rPr/>
        <w:t>研究局限</w:t>
      </w:r>
    </w:p>
    <w:p>
      <w:pPr>
        <w:pStyle w:val="Normal"/>
        <w:rPr/>
      </w:pPr>
      <w:r>
        <w:rPr/>
        <w:t>第一，本文为叙述性文献综述与制度比较，未进行效应量的定量合成，四国比较基于公开可核实材料，其完整性受各国信息公开程度的制约。</w:t>
      </w:r>
    </w:p>
    <w:p>
      <w:pPr>
        <w:pStyle w:val="Normal"/>
        <w:rPr/>
      </w:pPr>
      <w:r>
        <w:rPr/>
        <w:t xml:space="preserve">第二，出于可核查性原则剔除了数条无法核实题录的文献，这可能低估相关法域的实际研究产出。被剔除条目已在 </w:t>
      </w:r>
      <w:r>
        <w:rPr/>
        <w:t xml:space="preserve">2.3 </w:t>
      </w:r>
      <w:r>
        <w:rPr/>
        <w:t>节明确列示，读者可自行复核。</w:t>
      </w:r>
    </w:p>
    <w:p>
      <w:pPr>
        <w:pStyle w:val="Normal"/>
        <w:rPr/>
      </w:pPr>
      <w:r>
        <w:rPr/>
        <w:t>第三，文莱部分的论述受限于公开证据缺口，相关判断均为推论与建议，不宜作为现状描述加以引用。</w:t>
      </w:r>
    </w:p>
    <w:p>
      <w:pPr>
        <w:pStyle w:val="Normal"/>
        <w:rPr/>
      </w:pPr>
      <w:r>
        <w:rPr/>
        <w:t>第四，马来西亚部分的若干统计数据来源于媒体转述的官方讲话，虽已保留来源限定，其精确性仍低于同行评议文献。</w:t>
      </w:r>
    </w:p>
    <w:p>
      <w:pPr>
        <w:pStyle w:val="Normal"/>
        <w:rPr/>
      </w:pPr>
      <w:r>
        <w:rPr/>
        <w:t>第五，双向影响模型中的部分机制路径（如感觉调节、情境密度）具有充分的临床合理性与理论支持，但缺乏四国本地的量化检验，应视为待验证假设而非既证结论。</w:t>
      </w:r>
    </w:p>
    <w:p>
      <w:pPr>
        <w:pStyle w:val="Normal"/>
        <w:rPr/>
      </w:pPr>
      <w:r>
        <w:rPr/>
        <w:t>第六，本文以四国为比较单位，未充分处理各国内部的次国家差异（如中国省际差距、马来西亚东西马差异），这一简化可能掩盖了国家层面均值的内部异质性。</w:t>
      </w:r>
    </w:p>
    <w:p>
      <w:pPr>
        <w:pStyle w:val="Normal"/>
        <w:pBdr>
          <w:bottom w:val="single" w:sz="8" w:space="0" w:color="020201"/>
        </w:pBdr>
        <w:rPr/>
      </w:pPr>
      <w:r>
        <w:rPr/>
      </w:r>
    </w:p>
    <w:p>
      <w:pPr>
        <w:pStyle w:val="2"/>
        <w:rPr/>
      </w:pPr>
      <w:r>
        <w:rPr/>
        <w:t xml:space="preserve">9. </w:t>
      </w:r>
      <w:r>
        <w:rPr/>
        <w:t>结论</w:t>
      </w:r>
    </w:p>
    <w:p>
      <w:pPr>
        <w:pStyle w:val="Normal"/>
        <w:rPr/>
      </w:pPr>
      <w:r>
        <w:rPr/>
        <w:t xml:space="preserve">本文建构并论证了 </w:t>
      </w:r>
      <w:r>
        <w:rPr/>
        <w:t xml:space="preserve">0–6 </w:t>
      </w:r>
      <w:r>
        <w:rPr/>
        <w:t>岁特殊需要儿童早期康复与特教学习之间的双向影响模型。康复经由感觉调节、姿势与动作、共同注意、语言理解以及执行功能与情绪调节五条路径塑造学习准备度；特教学习则经由情境密度、动机与泛化机会三条机制反哺康复。二者构成方向可正可负的反馈回路，而决定回路净方向的调节构念是</w:t>
      </w:r>
      <w:r>
        <w:rPr>
          <w:b/>
        </w:rPr>
        <w:t>情境共享度</w:t>
      </w:r>
      <w:r>
        <w:rPr/>
        <w:t>——康复目标与学习目标是否在同一情境、由同一批成人、依据同一份计划执行——而非</w:t>
      </w:r>
      <w:r>
        <w:rPr/>
        <w:t>"</w:t>
      </w:r>
      <w:r>
        <w:rPr/>
        <w:t>是否提供了康复服务</w:t>
      </w:r>
      <w:r>
        <w:rPr/>
        <w:t>"</w:t>
      </w:r>
      <w:r>
        <w:rPr/>
        <w:t>这一较粗糙的指标。</w:t>
      </w:r>
    </w:p>
    <w:p>
      <w:pPr>
        <w:pStyle w:val="Normal"/>
        <w:rPr/>
      </w:pPr>
      <w:r>
        <w:rPr/>
        <w:t>四国比较显示，新加坡在制度性整合上最为成熟，其核心经验在于按需要强度分层配置资源，并使多数支持在儿童日常学习的场域内发生；中国具备最完整的政策框架，但衔接成本集中于部门界面上的评估、档案与目标函数不通约；马来西亚正通过校内的特殊教育服务中心将康复专业力量引入教育场域，这一空间组织方式的转变更具结构性意义；文莱则受人口规模约束而存在结构性证据缺口，其适宜路径为适应性移植结合过程评估，并以小而精的跨部门试点定位自身。</w:t>
      </w:r>
    </w:p>
    <w:p>
      <w:pPr>
        <w:pStyle w:val="Normal"/>
        <w:rPr/>
      </w:pPr>
      <w:r>
        <w:rPr/>
        <w:t>本文明确拒绝对四国</w:t>
      </w:r>
      <w:r>
        <w:rPr/>
        <w:t>"</w:t>
      </w:r>
      <w:r>
        <w:rPr/>
        <w:t>干预效应强度</w:t>
      </w:r>
      <w:r>
        <w:rPr/>
        <w:t>"</w:t>
      </w:r>
      <w:r>
        <w:rPr/>
        <w:t>作出排序——该排序缺乏跨国比较研究的支撑。可核实的替代性指标是制度整合度与证据可得性，二者可通过公开材料加以判别，并可作为政策改进的观测对象。</w:t>
      </w:r>
    </w:p>
    <w:p>
      <w:pPr>
        <w:pStyle w:val="Normal"/>
        <w:rPr/>
      </w:pPr>
      <w:r>
        <w:rPr/>
        <w:t>面向实践，本文主张：跨部门整合的收益主要来自降低技能迁移损耗、家庭路径成本与目标冲突造成的无效重复，这一</w:t>
      </w:r>
      <w:r>
        <w:rPr/>
        <w:t>"</w:t>
      </w:r>
      <w:r>
        <w:rPr/>
        <w:t>减少损耗</w:t>
      </w:r>
      <w:r>
        <w:rPr/>
        <w:t>"</w:t>
      </w:r>
      <w:r>
        <w:rPr/>
        <w:t>而非</w:t>
      </w:r>
      <w:r>
        <w:rPr/>
        <w:t>"</w:t>
      </w:r>
      <w:r>
        <w:rPr/>
        <w:t>新增疗效</w:t>
      </w:r>
      <w:r>
        <w:rPr/>
        <w:t>"</w:t>
      </w:r>
      <w:r>
        <w:rPr/>
        <w:t>的定位使该策略在资源有限情境中仍具可行性。未来工作的重点应是推动一体化评估、跨专业协作与家长赋能，并依据各自的地理与人口尺度选择适配模式——国土广阔者走社区嵌入与家庭为主的低门槛路径，人口规模小者走精细化试点与区域资源共享的路径，而所有法域共同的基础工程，则是建立跨部门的统一数据基础设施与个案层面的共同目标函数。</w:t>
      </w:r>
    </w:p>
    <w:p>
      <w:pPr>
        <w:pStyle w:val="Normal"/>
        <w:pBdr>
          <w:bottom w:val="single" w:sz="8" w:space="0" w:color="020201"/>
        </w:pBdr>
        <w:rPr/>
      </w:pPr>
      <w:r>
        <w:rPr/>
      </w:r>
    </w:p>
    <w:p>
      <w:pPr>
        <w:pStyle w:val="2"/>
        <w:rPr/>
      </w:pPr>
      <w:r>
        <w:rPr/>
        <w:t>参考文献</w:t>
      </w:r>
    </w:p>
    <w:p>
      <w:pPr>
        <w:pStyle w:val="Normal"/>
        <w:rPr/>
      </w:pPr>
      <w:r>
        <w:rPr/>
        <w:t xml:space="preserve">Bedford, R., Pickles, A., &amp; Lord, C. (2016). Early gross motor skills predict the subsequent development of language in children with autism spectrum disorder. </w:t>
      </w:r>
      <w:r>
        <w:rPr>
          <w:i/>
        </w:rPr>
        <w:t>Autism Research, 9</w:t>
      </w:r>
      <w:r>
        <w:rPr/>
        <w:t xml:space="preserve">(9), 993–1001. </w:t>
      </w:r>
      <w:hyperlink r:id="rId2">
        <w:r>
          <w:rPr>
            <w:rStyle w:val="Internet"/>
          </w:rPr>
          <w:t>https://doi.org/10.1002/aur.1587</w:t>
        </w:r>
      </w:hyperlink>
    </w:p>
    <w:p>
      <w:pPr>
        <w:pStyle w:val="Normal"/>
        <w:rPr/>
      </w:pPr>
      <w:r>
        <w:rPr/>
        <w:t xml:space="preserve">Chow, J., Zhao, H., Sandbank, M., Bottema-Beutel, K., &amp; Woynaroski, T. (2022). Empirically derived effect size distributions of interventions for young children on the autism spectrum. </w:t>
      </w:r>
      <w:r>
        <w:rPr>
          <w:i/>
        </w:rPr>
        <w:t>Journal of Clinical Child &amp; Adolescent Psychology</w:t>
      </w:r>
      <w:r>
        <w:rPr/>
        <w:t xml:space="preserve">. </w:t>
      </w:r>
      <w:hyperlink r:id="rId3">
        <w:r>
          <w:rPr>
            <w:rStyle w:val="Internet"/>
          </w:rPr>
          <w:t>https://doi.org/10.1080/15374416.2021.2007485</w:t>
        </w:r>
      </w:hyperlink>
    </w:p>
    <w:p>
      <w:pPr>
        <w:pStyle w:val="Normal"/>
        <w:rPr/>
      </w:pPr>
      <w:r>
        <w:rPr/>
        <w:t xml:space="preserve">Dawson, G., Rogers, S., Munson, J., Smith, M., Winter, J., Greenson, J., Donaldson, A., &amp; Varley, J. (2010). Randomized, controlled trial of an intervention for toddlers with autism: The Early Start Denver Model. </w:t>
      </w:r>
      <w:r>
        <w:rPr>
          <w:i/>
        </w:rPr>
        <w:t>Pediatrics, 125</w:t>
      </w:r>
      <w:r>
        <w:rPr/>
        <w:t xml:space="preserve">(1), e17–e23. </w:t>
      </w:r>
      <w:hyperlink r:id="rId4">
        <w:r>
          <w:rPr>
            <w:rStyle w:val="Internet"/>
          </w:rPr>
          <w:t>https://doi.org/10.1542/peds.2009-0958</w:t>
        </w:r>
      </w:hyperlink>
    </w:p>
    <w:p>
      <w:pPr>
        <w:pStyle w:val="Normal"/>
        <w:rPr/>
      </w:pPr>
      <w:r>
        <w:rPr/>
        <w:t xml:space="preserve">Naicker, A. S., Yatim, S. M., Engkasan, J. P., Mazlan, M., Yusof, Y. M., Yuliawiratman, B. S., Hasnan, N., &amp; Htwe, O. (2019). Rehabilitation in Malaysia. </w:t>
      </w:r>
      <w:r>
        <w:rPr>
          <w:i/>
        </w:rPr>
        <w:t>Physical Medicine and Rehabilitation Clinics of North America, 30</w:t>
      </w:r>
      <w:r>
        <w:rPr/>
        <w:t xml:space="preserve">(4), 807–816. </w:t>
      </w:r>
      <w:hyperlink r:id="rId5">
        <w:r>
          <w:rPr>
            <w:rStyle w:val="Internet"/>
          </w:rPr>
          <w:t>https://doi.org/10.1016/j.pmr.2019.07.006</w:t>
        </w:r>
      </w:hyperlink>
    </w:p>
    <w:p>
      <w:pPr>
        <w:pStyle w:val="Normal"/>
        <w:rPr/>
      </w:pPr>
      <w:r>
        <w:rPr/>
        <w:t xml:space="preserve">Nevill, R. E., Lecavalier, L., &amp; Stratis, E. A. (2018). Meta-analysis of parent-mediated interventions for young children with autism spectrum disorder. </w:t>
      </w:r>
      <w:r>
        <w:rPr>
          <w:i/>
        </w:rPr>
        <w:t>Autism, 22</w:t>
      </w:r>
      <w:r>
        <w:rPr/>
        <w:t xml:space="preserve">(2), 84–98. </w:t>
      </w:r>
      <w:hyperlink r:id="rId6">
        <w:r>
          <w:rPr>
            <w:rStyle w:val="Internet"/>
          </w:rPr>
          <w:t>https://doi.org/10.1177/1362361316677838</w:t>
        </w:r>
      </w:hyperlink>
    </w:p>
    <w:p>
      <w:pPr>
        <w:pStyle w:val="Normal"/>
        <w:rPr/>
      </w:pPr>
      <w:r>
        <w:rPr/>
        <w:t xml:space="preserve">Oono, I. P., Honey, E. J., &amp; McConachie, H. (2013). Parent-mediated early intervention for young children with autism spectrum disorders (ASD). </w:t>
      </w:r>
      <w:r>
        <w:rPr>
          <w:i/>
        </w:rPr>
        <w:t>Cochrane Database of Systematic Reviews</w:t>
      </w:r>
      <w:r>
        <w:rPr/>
        <w:t xml:space="preserve">, (4), Article CD009774. </w:t>
      </w:r>
      <w:hyperlink r:id="rId7">
        <w:r>
          <w:rPr>
            <w:rStyle w:val="Internet"/>
          </w:rPr>
          <w:t>https://doi.org/10.1002/14651858.CD009774.pub2</w:t>
        </w:r>
      </w:hyperlink>
    </w:p>
    <w:p>
      <w:pPr>
        <w:pStyle w:val="Normal"/>
        <w:rPr/>
      </w:pPr>
      <w:r>
        <w:rPr/>
        <w:t xml:space="preserve">Pickles, A., Anderson, D. K., &amp; Lord, C. (2014). Heterogeneity and plasticity in the development of language: A 17-year follow-up of children referred early for possible autism. </w:t>
      </w:r>
      <w:r>
        <w:rPr>
          <w:i/>
        </w:rPr>
        <w:t>Journal of Child Psychology and Psychiatry, 55</w:t>
      </w:r>
      <w:r>
        <w:rPr/>
        <w:t xml:space="preserve">(12), 1354–1362. </w:t>
      </w:r>
      <w:hyperlink r:id="rId8">
        <w:r>
          <w:rPr>
            <w:rStyle w:val="Internet"/>
          </w:rPr>
          <w:t>https://doi.org/10.1111/jcpp.12269</w:t>
        </w:r>
      </w:hyperlink>
    </w:p>
    <w:p>
      <w:pPr>
        <w:pStyle w:val="Normal"/>
        <w:rPr/>
      </w:pPr>
      <w:r>
        <w:rPr/>
        <w:t xml:space="preserve">Roberts, M. Y., &amp; Kaiser, A. P. (2015). Early intervention for toddlers with language delays: A randomized controlled trial. </w:t>
      </w:r>
      <w:r>
        <w:rPr>
          <w:i/>
        </w:rPr>
        <w:t>Pediatrics, 135</w:t>
      </w:r>
      <w:r>
        <w:rPr/>
        <w:t xml:space="preserve">(4), 686–693. </w:t>
      </w:r>
      <w:hyperlink r:id="rId9">
        <w:r>
          <w:rPr>
            <w:rStyle w:val="Internet"/>
          </w:rPr>
          <w:t>https://doi.org/10.1542/peds.2014-2134</w:t>
        </w:r>
      </w:hyperlink>
    </w:p>
    <w:p>
      <w:pPr>
        <w:pStyle w:val="Normal"/>
        <w:rPr/>
      </w:pPr>
      <w:r>
        <w:rPr/>
        <w:t xml:space="preserve">Sandbank, M., Bottema-Beutel, K., Crowley, S., Cassidy, M., Feldman, J. I., Canihuante, M., &amp; Woynaroski, T. (2020). Intervention effects on language in children with autism: A Project AIM meta-analysis. </w:t>
      </w:r>
      <w:r>
        <w:rPr>
          <w:i/>
        </w:rPr>
        <w:t>Journal of Speech, Language, and Hearing Research</w:t>
      </w:r>
      <w:r>
        <w:rPr/>
        <w:t xml:space="preserve">. </w:t>
      </w:r>
      <w:hyperlink r:id="rId10">
        <w:r>
          <w:rPr>
            <w:rStyle w:val="Internet"/>
          </w:rPr>
          <w:t>https://doi.org/10.1044/2020_JSLHR-19-00167</w:t>
        </w:r>
      </w:hyperlink>
    </w:p>
    <w:p>
      <w:pPr>
        <w:pStyle w:val="Normal"/>
        <w:rPr/>
      </w:pPr>
      <w:r>
        <w:rPr/>
        <w:t xml:space="preserve">Sandbank, M., Bottema-Beutel, K., Syu, Y.-C., Caldwell, N., Feldman, J. I., &amp; Woynaroski, T. (2024). Evidence-b(i)ased practice: Selective and inadequate reporting in early childhood autism intervention research. </w:t>
      </w:r>
      <w:r>
        <w:rPr>
          <w:i/>
        </w:rPr>
        <w:t>Autism</w:t>
      </w:r>
      <w:r>
        <w:rPr/>
        <w:t xml:space="preserve">. </w:t>
      </w:r>
      <w:hyperlink r:id="rId11">
        <w:r>
          <w:rPr>
            <w:rStyle w:val="Internet"/>
          </w:rPr>
          <w:t>https://doi.org/10.1177/13623613241231624</w:t>
        </w:r>
      </w:hyperlink>
    </w:p>
    <w:p>
      <w:pPr>
        <w:pStyle w:val="Normal"/>
        <w:rPr/>
      </w:pPr>
      <w:r>
        <w:rPr/>
        <w:t xml:space="preserve">Sandbank, M., Pustejovsky, J. E., Bottema-Beutel, K., Caldwell, N., Feldman, J. I., Crowley LaPoint, S., &amp; Woynaroski, T. G. (2020). Project AIM: Autism intervention meta-analysis for studies of young children. </w:t>
      </w:r>
      <w:r>
        <w:rPr>
          <w:i/>
        </w:rPr>
        <w:t>Psychological Bulletin, 146</w:t>
      </w:r>
      <w:r>
        <w:rPr/>
        <w:t>(1), 1–29.</w:t>
      </w:r>
    </w:p>
    <w:p>
      <w:pPr>
        <w:pStyle w:val="Normal"/>
        <w:rPr/>
      </w:pPr>
      <w:r>
        <w:rPr/>
        <w:t xml:space="preserve">Schreibman, L., Dawson, G., Stahmer, A. C., Landa, R., Lord, C., Rogers, S. J., … McNerney, E. (2015). Naturalistic developmental behavioral interventions: Empirically validated treatments for autism spectrum disorder. </w:t>
      </w:r>
      <w:r>
        <w:rPr>
          <w:i/>
        </w:rPr>
        <w:t>Journal of Autism and Developmental Disorders, 45</w:t>
      </w:r>
      <w:r>
        <w:rPr/>
        <w:t>(8), 2411–2428.</w:t>
      </w:r>
    </w:p>
    <w:p>
      <w:pPr>
        <w:pStyle w:val="Normal"/>
        <w:rPr/>
      </w:pPr>
      <w:r>
        <w:rPr/>
        <w:t xml:space="preserve">Uljarević, M., Billingham, W., Cooper, M. N., Condron, P., &amp; Hardan, A. Y. (2022). Examining effectiveness and predictors of treatment response of pivotal response treatment in autism: An umbrella review and a meta-analysis. </w:t>
      </w:r>
      <w:r>
        <w:rPr>
          <w:i/>
        </w:rPr>
        <w:t>Frontiers in Psychiatry, 12</w:t>
      </w:r>
      <w:r>
        <w:rPr/>
        <w:t xml:space="preserve">, Article 766150. </w:t>
      </w:r>
      <w:hyperlink r:id="rId12">
        <w:r>
          <w:rPr>
            <w:rStyle w:val="Internet"/>
          </w:rPr>
          <w:t>https://doi.org/10.3389/fpsyt.2021.766150</w:t>
        </w:r>
      </w:hyperlink>
    </w:p>
    <w:p>
      <w:pPr>
        <w:pStyle w:val="Normal"/>
        <w:rPr/>
      </w:pPr>
      <w:r>
        <w:rPr/>
        <w:t xml:space="preserve">Wong, C. M., Koh, H. C., Agarwal, P., &amp; Daniel, L. M. (2024). Diagnostic patterns and predictors of cognitive outcomes in autistic children in Singapore. </w:t>
      </w:r>
      <w:r>
        <w:rPr>
          <w:i/>
        </w:rPr>
        <w:t>Annals of the Academy of Medicine, Singapore</w:t>
      </w:r>
      <w:r>
        <w:rPr/>
        <w:t xml:space="preserve">. </w:t>
      </w:r>
      <w:hyperlink r:id="rId13">
        <w:r>
          <w:rPr>
            <w:rStyle w:val="Internet"/>
          </w:rPr>
          <w:t>https://doi.org/10.47102/annals-acadmedsg.2024385</w:t>
        </w:r>
      </w:hyperlink>
    </w:p>
    <w:p>
      <w:pPr>
        <w:pStyle w:val="Normal"/>
        <w:rPr/>
      </w:pPr>
      <w:r>
        <w:rPr/>
        <w:t xml:space="preserve">World Health Organization, United Nations Children's Fund, &amp; World Bank Group. (2018). </w:t>
      </w:r>
      <w:r>
        <w:rPr>
          <w:i/>
        </w:rPr>
        <w:t>Nurturing care for early childhood development: A framework for helping children survive and thrive to transform health and human potential</w:t>
      </w:r>
      <w:r>
        <w:rPr/>
        <w:t>. World Health Organization.</w:t>
      </w:r>
    </w:p>
    <w:p>
      <w:pPr>
        <w:pStyle w:val="Normal"/>
        <w:rPr/>
      </w:pPr>
      <w:r>
        <w:rPr/>
        <w:t xml:space="preserve">ASEAN. (2018). </w:t>
      </w:r>
      <w:r>
        <w:rPr>
          <w:i/>
        </w:rPr>
        <w:t>ASEAN Enabling Masterplan 2025: Mainstreaming the rights of persons with disabilities</w:t>
      </w:r>
      <w:r>
        <w:rPr/>
        <w:t>. ASEAN Secretariat.</w:t>
      </w:r>
    </w:p>
    <w:p>
      <w:pPr>
        <w:pStyle w:val="Normal"/>
        <w:rPr/>
      </w:pPr>
      <w:r>
        <w:rPr/>
        <w:t xml:space="preserve">United Nations. (2006). </w:t>
      </w:r>
      <w:r>
        <w:rPr>
          <w:i/>
        </w:rPr>
        <w:t>Convention on the rights of persons with disabilities</w:t>
      </w:r>
      <w:r>
        <w:rPr/>
        <w:t xml:space="preserve">. </w:t>
      </w:r>
      <w:hyperlink r:id="rId14">
        <w:r>
          <w:rPr>
            <w:rStyle w:val="Internet"/>
          </w:rPr>
          <w:t>https://www.un.org/development/desa/disabilities/convention-on-the-rights-of-persons-with-disabilities.html</w:t>
        </w:r>
      </w:hyperlink>
    </w:p>
    <w:p>
      <w:pPr>
        <w:pStyle w:val="Normal"/>
        <w:rPr/>
      </w:pPr>
      <w:r>
        <w:rPr/>
        <w:t>高迪</w:t>
      </w:r>
      <w:r>
        <w:rPr/>
        <w:t xml:space="preserve">, </w:t>
      </w:r>
      <w:r>
        <w:rPr/>
        <w:t>于婷</w:t>
      </w:r>
      <w:r>
        <w:rPr/>
        <w:t xml:space="preserve">, </w:t>
      </w:r>
      <w:r>
        <w:rPr/>
        <w:t>李春丽</w:t>
      </w:r>
      <w:r>
        <w:rPr/>
        <w:t xml:space="preserve">, </w:t>
      </w:r>
      <w:r>
        <w:rPr/>
        <w:t>贾飞勇</w:t>
      </w:r>
      <w:r>
        <w:rPr/>
        <w:t xml:space="preserve">, </w:t>
      </w:r>
      <w:r>
        <w:rPr/>
        <w:t>李洪华</w:t>
      </w:r>
      <w:r>
        <w:rPr/>
        <w:t xml:space="preserve">. (2020). </w:t>
      </w:r>
      <w:r>
        <w:rPr/>
        <w:t>早期介入丹佛模式的密集训练结合家长培训对孤独症谱系障碍儿童疗效及其对父母育儿压力的影响</w:t>
      </w:r>
      <w:r>
        <w:rPr/>
        <w:t xml:space="preserve">. </w:t>
      </w:r>
      <w:r>
        <w:rPr>
          <w:i/>
        </w:rPr>
        <w:t>中国当代儿科杂志</w:t>
      </w:r>
      <w:r>
        <w:rPr>
          <w:i/>
        </w:rPr>
        <w:t>, 22</w:t>
      </w:r>
      <w:r>
        <w:rPr/>
        <w:t>(2), 158.</w:t>
      </w:r>
    </w:p>
    <w:p>
      <w:pPr>
        <w:pStyle w:val="Normal"/>
        <w:rPr/>
      </w:pPr>
      <w:r>
        <w:rPr/>
        <w:t>肖石花</w:t>
      </w:r>
      <w:r>
        <w:rPr/>
        <w:t xml:space="preserve">, </w:t>
      </w:r>
      <w:r>
        <w:rPr/>
        <w:t>李晶</w:t>
      </w:r>
      <w:r>
        <w:rPr/>
        <w:t xml:space="preserve">. (2023). </w:t>
      </w:r>
      <w:r>
        <w:rPr/>
        <w:t>自然发展行为干预在孤独症早期干预中的应用</w:t>
      </w:r>
      <w:r>
        <w:rPr/>
        <w:t xml:space="preserve">. </w:t>
      </w:r>
      <w:r>
        <w:rPr>
          <w:i/>
        </w:rPr>
        <w:t>心理科学进展</w:t>
      </w:r>
      <w:r>
        <w:rPr>
          <w:i/>
        </w:rPr>
        <w:t>, 31</w:t>
      </w:r>
      <w:r>
        <w:rPr/>
        <w:t xml:space="preserve">(12), 2350–2367. </w:t>
      </w:r>
      <w:hyperlink r:id="rId15">
        <w:r>
          <w:rPr>
            <w:rStyle w:val="Internet"/>
          </w:rPr>
          <w:t>https://doi.org/10.3724/SP.J.1042.2023.02350</w:t>
        </w:r>
      </w:hyperlink>
    </w:p>
    <w:p>
      <w:pPr>
        <w:pStyle w:val="Normal"/>
        <w:rPr/>
      </w:pPr>
      <w:r>
        <w:rPr/>
        <w:t>国务院</w:t>
      </w:r>
      <w:r>
        <w:rPr/>
        <w:t xml:space="preserve">. (2018). </w:t>
      </w:r>
      <w:r>
        <w:rPr>
          <w:i/>
        </w:rPr>
        <w:t>关于建立残疾儿童康复救助制度的意见</w:t>
      </w:r>
      <w:r>
        <w:rPr/>
        <w:t>（国发〔</w:t>
      </w:r>
      <w:r>
        <w:rPr/>
        <w:t>2018</w:t>
      </w:r>
      <w:r>
        <w:rPr/>
        <w:t>〕</w:t>
      </w:r>
      <w:r>
        <w:rPr/>
        <w:t>20</w:t>
      </w:r>
      <w:r>
        <w:rPr/>
        <w:t>号）</w:t>
      </w:r>
      <w:r>
        <w:rPr/>
        <w:t xml:space="preserve">. </w:t>
      </w:r>
      <w:hyperlink r:id="rId16">
        <w:r>
          <w:rPr>
            <w:rStyle w:val="Internet"/>
          </w:rPr>
          <w:t>https://www.gov.cn/xinwen/2018-07/10/content_5305401.htm</w:t>
        </w:r>
      </w:hyperlink>
    </w:p>
    <w:p>
      <w:pPr>
        <w:pStyle w:val="Normal"/>
        <w:rPr/>
      </w:pPr>
      <w:r>
        <w:rPr/>
        <w:t>国家卫生健康委员会办公厅</w:t>
      </w:r>
      <w:r>
        <w:rPr/>
        <w:t xml:space="preserve">. (2022). </w:t>
      </w:r>
      <w:r>
        <w:rPr>
          <w:i/>
        </w:rPr>
        <w:t>0</w:t>
      </w:r>
      <w:r>
        <w:rPr>
          <w:i/>
        </w:rPr>
        <w:t>～</w:t>
      </w:r>
      <w:r>
        <w:rPr>
          <w:i/>
        </w:rPr>
        <w:t>6</w:t>
      </w:r>
      <w:r>
        <w:rPr>
          <w:i/>
        </w:rPr>
        <w:t>岁儿童孤独症筛查干预服务规范（试行）</w:t>
      </w:r>
      <w:r>
        <w:rPr/>
        <w:t>（国卫办妇幼发〔</w:t>
      </w:r>
      <w:r>
        <w:rPr/>
        <w:t>2022</w:t>
      </w:r>
      <w:r>
        <w:rPr/>
        <w:t>〕</w:t>
      </w:r>
      <w:r>
        <w:rPr/>
        <w:t>12</w:t>
      </w:r>
      <w:r>
        <w:rPr/>
        <w:t>号）</w:t>
      </w:r>
      <w:r>
        <w:rPr/>
        <w:t xml:space="preserve">. </w:t>
      </w:r>
      <w:hyperlink r:id="rId17">
        <w:r>
          <w:rPr>
            <w:rStyle w:val="Internet"/>
          </w:rPr>
          <w:t>https://www.gov.cn/zhengce/zhengceku/2022-09/23/content_5711379.htm</w:t>
        </w:r>
      </w:hyperlink>
    </w:p>
    <w:p>
      <w:pPr>
        <w:pStyle w:val="Normal"/>
        <w:rPr/>
      </w:pPr>
      <w:r>
        <w:rPr/>
        <w:t>教育部</w:t>
      </w:r>
      <w:r>
        <w:rPr/>
        <w:t xml:space="preserve">. (2022). </w:t>
      </w:r>
      <w:r>
        <w:rPr>
          <w:i/>
        </w:rPr>
        <w:t>国务院办公厅关于转发教育部等部门</w:t>
      </w:r>
      <w:r>
        <w:rPr>
          <w:i/>
        </w:rPr>
        <w:t>"</w:t>
      </w:r>
      <w:r>
        <w:rPr>
          <w:i/>
        </w:rPr>
        <w:t>十四五</w:t>
      </w:r>
      <w:r>
        <w:rPr>
          <w:i/>
        </w:rPr>
        <w:t>"</w:t>
      </w:r>
      <w:r>
        <w:rPr>
          <w:i/>
        </w:rPr>
        <w:t>特殊教育发展提升行动计划的通知</w:t>
      </w:r>
      <w:r>
        <w:rPr/>
        <w:t xml:space="preserve">. </w:t>
      </w:r>
      <w:hyperlink r:id="rId18">
        <w:r>
          <w:rPr>
            <w:rStyle w:val="Internet"/>
          </w:rPr>
          <w:t>https://www.moe.gov.cn/jyb_xxgk/moe_1777/moe_1778/202201/t20220125_596312.html</w:t>
        </w:r>
      </w:hyperlink>
    </w:p>
    <w:p>
      <w:pPr>
        <w:pStyle w:val="Normal"/>
        <w:rPr/>
      </w:pPr>
      <w:r>
        <w:rPr/>
        <w:t>马来西亚教育部</w:t>
      </w:r>
      <w:r>
        <w:rPr/>
        <w:t xml:space="preserve">. (2025). </w:t>
      </w:r>
      <w:r>
        <w:rPr>
          <w:i/>
        </w:rPr>
        <w:t>特殊教育服务中心运营指南</w:t>
      </w:r>
      <w:r>
        <w:rPr/>
        <w:t>（</w:t>
      </w:r>
      <w:r>
        <w:rPr/>
        <w:t>SPI KPM Bil. 2 Tahun 2025</w:t>
      </w:r>
      <w:r>
        <w:rPr/>
        <w:t>）</w:t>
      </w:r>
      <w:r>
        <w:rPr/>
        <w:t xml:space="preserve">. </w:t>
      </w:r>
      <w:r>
        <w:rPr/>
        <w:t xml:space="preserve">公开解读取自 </w:t>
      </w:r>
      <w:hyperlink r:id="rId19">
        <w:r>
          <w:rPr>
            <w:rStyle w:val="Internet"/>
          </w:rPr>
          <w:t>https://www.sohu.com/a/877243280_121123998</w:t>
        </w:r>
      </w:hyperlink>
    </w:p>
    <w:p>
      <w:pPr>
        <w:pStyle w:val="Normal"/>
        <w:rPr/>
      </w:pPr>
      <w:r>
        <w:rPr/>
        <w:t>新加坡社会及家庭发展部</w:t>
      </w:r>
      <w:r>
        <w:rPr/>
        <w:t xml:space="preserve">. (2024). </w:t>
      </w:r>
      <w:r>
        <w:rPr>
          <w:i/>
        </w:rPr>
        <w:t>供应委员会辩论答问记录（关于早期干预名额与分配原则）</w:t>
      </w:r>
      <w:r>
        <w:rPr/>
        <w:t>（媒体转述）</w:t>
      </w:r>
      <w:r>
        <w:rPr/>
        <w:t xml:space="preserve">. </w:t>
      </w:r>
      <w:hyperlink r:id="rId20">
        <w:r>
          <w:rPr>
            <w:rStyle w:val="Internet"/>
          </w:rPr>
          <w:t>https://m.thepaper.cn/detail/27748064</w:t>
        </w:r>
      </w:hyperlink>
    </w:p>
    <w:p>
      <w:pPr>
        <w:pStyle w:val="Normal"/>
        <w:rPr/>
      </w:pPr>
      <w:r>
        <w:rPr/>
        <w:t>新加坡社会及家庭发展部</w:t>
      </w:r>
      <w:r>
        <w:rPr/>
        <w:t xml:space="preserve">. (2024). </w:t>
      </w:r>
      <w:r>
        <w:rPr>
          <w:i/>
        </w:rPr>
        <w:t>国会答问：学前教育融合支持计划（</w:t>
      </w:r>
      <w:r>
        <w:rPr>
          <w:i/>
        </w:rPr>
        <w:t xml:space="preserve">DS-LS </w:t>
      </w:r>
      <w:r>
        <w:rPr>
          <w:i/>
        </w:rPr>
        <w:t xml:space="preserve">与 </w:t>
      </w:r>
      <w:r>
        <w:rPr>
          <w:i/>
        </w:rPr>
        <w:t>InSP</w:t>
      </w:r>
      <w:r>
        <w:rPr>
          <w:i/>
        </w:rPr>
        <w:t>）</w:t>
      </w:r>
      <w:r>
        <w:rPr/>
        <w:t>（媒体转述）</w:t>
      </w:r>
      <w:r>
        <w:rPr/>
        <w:t xml:space="preserve">. </w:t>
      </w:r>
      <w:hyperlink r:id="rId21">
        <w:r>
          <w:rPr>
            <w:rStyle w:val="Internet"/>
          </w:rPr>
          <w:t>https://news.qq.com/rain/a/20240706A06Q8B00</w:t>
        </w:r>
      </w:hyperlink>
    </w:p>
    <w:p>
      <w:pPr>
        <w:pStyle w:val="Normal"/>
        <w:rPr/>
      </w:pPr>
      <w:r>
        <w:rPr/>
        <w:t>文莱教育部</w:t>
      </w:r>
      <w:r>
        <w:rPr/>
        <w:t xml:space="preserve">. (2022). </w:t>
      </w:r>
      <w:r>
        <w:rPr>
          <w:i/>
        </w:rPr>
        <w:t>教育变革峰会国家承诺声明</w:t>
      </w:r>
      <w:r>
        <w:rPr/>
        <w:t xml:space="preserve">. </w:t>
      </w:r>
      <w:hyperlink r:id="rId22">
        <w:r>
          <w:rPr>
            <w:rStyle w:val="Internet"/>
          </w:rPr>
          <w:t>https://apppack-app-eger-prod-publics3bucket-elt8wyly48zp.s3.amazonaws.com/countries/Brunei_Darussalam_National_Statement_of_Committment.pdf</w:t>
        </w:r>
      </w:hyperlink>
    </w:p>
    <w:p>
      <w:pPr>
        <w:pStyle w:val="Normal"/>
        <w:rPr/>
      </w:pPr>
      <w:r>
        <w:rPr/>
        <w:t>文莱经济计划与统计局</w:t>
      </w:r>
      <w:r>
        <w:rPr/>
        <w:t xml:space="preserve">. (2025). </w:t>
      </w:r>
      <w:r>
        <w:rPr>
          <w:i/>
        </w:rPr>
        <w:t>2025</w:t>
      </w:r>
      <w:r>
        <w:rPr>
          <w:i/>
        </w:rPr>
        <w:t>年人口估计报告</w:t>
      </w:r>
      <w:r>
        <w:rPr/>
        <w:t>（经中国驻文莱达鲁萨兰国大使馆周报转述）</w:t>
      </w:r>
      <w:r>
        <w:rPr/>
        <w:t xml:space="preserve">. </w:t>
      </w:r>
      <w:hyperlink r:id="rId23">
        <w:r>
          <w:rPr>
            <w:rStyle w:val="Internet"/>
          </w:rPr>
          <w:t>https://bn.china-embassy.gov.cn/eng/01/202604/t20260421_11896338.htm</w:t>
        </w:r>
      </w:hyperlink>
    </w:p>
    <w:p>
      <w:pPr>
        <w:pStyle w:val="Normal"/>
        <w:rPr/>
      </w:pPr>
      <w:r>
        <w:rPr/>
        <w:t>中国驻文莱达鲁萨兰国大使馆</w:t>
      </w:r>
      <w:r>
        <w:rPr/>
        <w:t>. (2022, 8</w:t>
      </w:r>
      <w:r>
        <w:rPr/>
        <w:t>月</w:t>
      </w:r>
      <w:r>
        <w:rPr/>
        <w:t>18</w:t>
      </w:r>
      <w:r>
        <w:rPr/>
        <w:t>日</w:t>
      </w:r>
      <w:r>
        <w:rPr/>
        <w:t xml:space="preserve">). </w:t>
      </w:r>
      <w:r>
        <w:rPr>
          <w:i/>
        </w:rPr>
        <w:t>驻文莱大使于红参访文莱益善中心基金会</w:t>
      </w:r>
      <w:r>
        <w:rPr/>
        <w:t xml:space="preserve">. </w:t>
      </w:r>
      <w:hyperlink r:id="rId24">
        <w:r>
          <w:rPr>
            <w:rStyle w:val="Internet"/>
          </w:rPr>
          <w:t>https://bn.china-embassy.gov.cn/sgxss/202208/t20220818_10745173.htm</w:t>
        </w:r>
      </w:hyperlink>
    </w:p>
    <w:p>
      <w:pPr>
        <w:pStyle w:val="Normal"/>
        <w:rPr/>
      </w:pPr>
      <w:r>
        <w:rPr/>
        <w:t xml:space="preserve">Malaysia. (2008). </w:t>
      </w:r>
      <w:r>
        <w:rPr>
          <w:i/>
        </w:rPr>
        <w:t>Persons with Disabilities Act 2008 (Act 685)</w:t>
      </w:r>
      <w:r>
        <w:rPr/>
        <w:t>.</w:t>
      </w:r>
    </w:p>
    <w:p>
      <w:pPr>
        <w:pStyle w:val="Normal"/>
        <w:pBdr>
          <w:bottom w:val="single" w:sz="8" w:space="0" w:color="020201"/>
        </w:pBdr>
        <w:spacing w:before="60" w:after="60"/>
        <w:rPr/>
      </w:pPr>
      <w:r>
        <w:rPr/>
      </w:r>
    </w:p>
    <w:sectPr>
      <w:type w:val="nextPage"/>
      <w:pgSz w:w="11906" w:h="16838"/>
      <w:pgMar w:left="1797" w:right="1797" w:gutter="0" w:header="0" w:top="1440" w:footer="0" w:bottom="1440"/>
      <w:pgNumType w:fmt="decimal"/>
      <w:formProt w:val="false"/>
      <w:textDirection w:val="lrTb"/>
      <w:docGrid w:type="lines" w:linePitch="387"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Arial">
    <w:charset w:val="01"/>
    <w:family w:val="roman"/>
    <w:pitch w:val="variable"/>
  </w:font>
  <w:font w:name="Monaco">
    <w:charset w:val="01"/>
    <w:family w:val="roman"/>
    <w:pitch w:val="variable"/>
  </w:font>
  <w:font w:name="Noto Sans Mono CJK SC">
    <w:charset w:val="01"/>
    <w:family w:val="swiss"/>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36" w:hanging="336"/>
      </w:pPr>
      <w:rPr>
        <w:rFonts w:ascii="wingdings" w:hAnsi="wingdings" w:cs="wingdings" w:hint="default"/>
      </w:rPr>
    </w:lvl>
    <w:lvl w:ilvl="1">
      <w:start w:val="1"/>
      <w:numFmt w:val="bullet"/>
      <w:lvlText w:val="¡"/>
      <w:lvlJc w:val="left"/>
      <w:pPr>
        <w:tabs>
          <w:tab w:val="num" w:pos="0"/>
        </w:tabs>
        <w:ind w:left="776" w:hanging="336"/>
      </w:pPr>
      <w:rPr>
        <w:rFonts w:ascii="wingdings" w:hAnsi="wingdings" w:cs="wingdings" w:hint="default"/>
      </w:rPr>
    </w:lvl>
    <w:lvl w:ilvl="2">
      <w:start w:val="1"/>
      <w:numFmt w:val="bullet"/>
      <w:lvlText w:val=""/>
      <w:lvlJc w:val="left"/>
      <w:pPr>
        <w:tabs>
          <w:tab w:val="num" w:pos="0"/>
        </w:tabs>
        <w:ind w:left="1216" w:hanging="336"/>
      </w:pPr>
      <w:rPr>
        <w:rFonts w:ascii="wingdings" w:hAnsi="wingdings" w:cs="wingdings" w:hint="default"/>
      </w:rPr>
    </w:lvl>
    <w:lvl w:ilvl="3">
      <w:start w:val="1"/>
      <w:numFmt w:val="bullet"/>
      <w:lvlText w:val=""/>
      <w:lvlJc w:val="left"/>
      <w:pPr>
        <w:tabs>
          <w:tab w:val="num" w:pos="0"/>
        </w:tabs>
        <w:ind w:left="1656" w:hanging="336"/>
      </w:pPr>
      <w:rPr>
        <w:rFonts w:ascii="wingdings" w:hAnsi="wingdings" w:cs="wingdings" w:hint="default"/>
      </w:rPr>
    </w:lvl>
    <w:lvl w:ilvl="4">
      <w:start w:val="1"/>
      <w:numFmt w:val="bullet"/>
      <w:lvlText w:val="¡"/>
      <w:lvlJc w:val="left"/>
      <w:pPr>
        <w:tabs>
          <w:tab w:val="num" w:pos="0"/>
        </w:tabs>
        <w:ind w:left="2096" w:hanging="336"/>
      </w:pPr>
      <w:rPr>
        <w:rFonts w:ascii="wingdings" w:hAnsi="wingdings" w:cs="wingdings" w:hint="default"/>
      </w:rPr>
    </w:lvl>
    <w:lvl w:ilvl="5">
      <w:start w:val="1"/>
      <w:numFmt w:val="bullet"/>
      <w:lvlText w:val=""/>
      <w:lvlJc w:val="left"/>
      <w:pPr>
        <w:tabs>
          <w:tab w:val="num" w:pos="0"/>
        </w:tabs>
        <w:ind w:left="2536" w:hanging="336"/>
      </w:pPr>
      <w:rPr>
        <w:rFonts w:ascii="wingdings" w:hAnsi="wingdings" w:cs="wingdings" w:hint="default"/>
      </w:rPr>
    </w:lvl>
    <w:lvl w:ilvl="6">
      <w:start w:val="1"/>
      <w:numFmt w:val="bullet"/>
      <w:lvlText w:val=""/>
      <w:lvlJc w:val="left"/>
      <w:pPr>
        <w:tabs>
          <w:tab w:val="num" w:pos="0"/>
        </w:tabs>
        <w:ind w:left="2976" w:hanging="336"/>
      </w:pPr>
      <w:rPr>
        <w:rFonts w:ascii="wingdings" w:hAnsi="wingdings" w:cs="wingdings" w:hint="default"/>
      </w:rPr>
    </w:lvl>
    <w:lvl w:ilvl="7">
      <w:start w:val="1"/>
      <w:numFmt w:val="bullet"/>
      <w:lvlText w:val="¡"/>
      <w:lvlJc w:val="left"/>
      <w:pPr>
        <w:tabs>
          <w:tab w:val="num" w:pos="0"/>
        </w:tabs>
        <w:ind w:left="3416" w:hanging="336"/>
      </w:pPr>
      <w:rPr>
        <w:rFonts w:ascii="wingdings" w:hAnsi="wingdings" w:cs="wingdings" w:hint="default"/>
      </w:rPr>
    </w:lvl>
    <w:lvl w:ilvl="8">
      <w:start w:val="1"/>
      <w:numFmt w:val="bullet"/>
      <w:lvlText w:val=""/>
      <w:lvlJc w:val="left"/>
      <w:pPr>
        <w:tabs>
          <w:tab w:val="num" w:pos="0"/>
        </w:tabs>
        <w:ind w:left="3856" w:hanging="336"/>
      </w:pPr>
      <w:rPr>
        <w:rFonts w:ascii="wingdings" w:hAnsi="wingdings" w:cs="wingdings" w:hint="default"/>
      </w:rPr>
    </w:lvl>
  </w:abstractNum>
  <w:abstractNum w:abstractNumId="2">
    <w:lvl w:ilvl="0">
      <w:start w:val="1"/>
      <w:numFmt w:val="decimal"/>
      <w:lvlText w:val="%1."/>
      <w:lvlJc w:val="left"/>
      <w:pPr>
        <w:tabs>
          <w:tab w:val="num" w:pos="0"/>
        </w:tabs>
        <w:ind w:left="336" w:hanging="336"/>
      </w:pPr>
      <w:rPr/>
    </w:lvl>
    <w:lvl w:ilvl="1">
      <w:start w:val="1"/>
      <w:numFmt w:val="lowerLetter"/>
      <w:lvlText w:val="%2."/>
      <w:lvlJc w:val="left"/>
      <w:pPr>
        <w:tabs>
          <w:tab w:val="num" w:pos="0"/>
        </w:tabs>
        <w:ind w:left="776" w:hanging="336"/>
      </w:pPr>
      <w:rPr/>
    </w:lvl>
    <w:lvl w:ilvl="2">
      <w:start w:val="1"/>
      <w:numFmt w:val="lowerRoman"/>
      <w:lvlText w:val="%3."/>
      <w:lvlJc w:val="left"/>
      <w:pPr>
        <w:tabs>
          <w:tab w:val="num" w:pos="0"/>
        </w:tabs>
        <w:ind w:left="1216" w:hanging="336"/>
      </w:pPr>
      <w:rPr/>
    </w:lvl>
    <w:lvl w:ilvl="3">
      <w:start w:val="1"/>
      <w:numFmt w:val="decimal"/>
      <w:lvlText w:val="%4."/>
      <w:lvlJc w:val="left"/>
      <w:pPr>
        <w:tabs>
          <w:tab w:val="num" w:pos="0"/>
        </w:tabs>
        <w:ind w:left="1656" w:hanging="336"/>
      </w:pPr>
      <w:rPr/>
    </w:lvl>
    <w:lvl w:ilvl="4">
      <w:start w:val="1"/>
      <w:numFmt w:val="lowerLetter"/>
      <w:lvlText w:val="%5."/>
      <w:lvlJc w:val="left"/>
      <w:pPr>
        <w:tabs>
          <w:tab w:val="num" w:pos="0"/>
        </w:tabs>
        <w:ind w:left="2096" w:hanging="336"/>
      </w:pPr>
      <w:rPr/>
    </w:lvl>
    <w:lvl w:ilvl="5">
      <w:start w:val="1"/>
      <w:numFmt w:val="lowerRoman"/>
      <w:lvlText w:val="%6."/>
      <w:lvlJc w:val="left"/>
      <w:pPr>
        <w:tabs>
          <w:tab w:val="num" w:pos="0"/>
        </w:tabs>
        <w:ind w:left="2536" w:hanging="336"/>
      </w:pPr>
      <w:rPr/>
    </w:lvl>
    <w:lvl w:ilvl="6">
      <w:start w:val="1"/>
      <w:numFmt w:val="decimal"/>
      <w:lvlText w:val="%7."/>
      <w:lvlJc w:val="left"/>
      <w:pPr>
        <w:tabs>
          <w:tab w:val="num" w:pos="0"/>
        </w:tabs>
        <w:ind w:left="2976" w:hanging="336"/>
      </w:pPr>
      <w:rPr/>
    </w:lvl>
    <w:lvl w:ilvl="7">
      <w:start w:val="1"/>
      <w:numFmt w:val="lowerLetter"/>
      <w:lvlText w:val="%8."/>
      <w:lvlJc w:val="left"/>
      <w:pPr>
        <w:tabs>
          <w:tab w:val="num" w:pos="0"/>
        </w:tabs>
        <w:ind w:left="3416" w:hanging="336"/>
      </w:pPr>
      <w:rPr/>
    </w:lvl>
    <w:lvl w:ilvl="8">
      <w:start w:val="1"/>
      <w:numFmt w:val="lowerRoman"/>
      <w:lvlText w:val="%9."/>
      <w:lvlJc w:val="left"/>
      <w:pPr>
        <w:tabs>
          <w:tab w:val="num" w:pos="0"/>
        </w:tabs>
        <w:ind w:left="3856" w:hanging="336"/>
      </w:pPr>
      <w:rPr/>
    </w:lvl>
  </w:abstractNum>
  <w:abstractNum w:abstractNumId="3">
    <w:lvl w:ilvl="0">
      <w:start w:val="1"/>
      <w:numFmt w:val="bullet"/>
      <w:lvlText w:val=""/>
      <w:lvlJc w:val="left"/>
      <w:pPr>
        <w:tabs>
          <w:tab w:val="num" w:pos="0"/>
        </w:tabs>
        <w:ind w:left="336" w:hanging="336"/>
      </w:pPr>
      <w:rPr>
        <w:rFonts w:ascii="wingdings" w:hAnsi="wingdings" w:cs="wingdings" w:hint="default"/>
      </w:rPr>
    </w:lvl>
    <w:lvl w:ilvl="1">
      <w:start w:val="1"/>
      <w:numFmt w:val="bullet"/>
      <w:lvlText w:val="¡"/>
      <w:lvlJc w:val="left"/>
      <w:pPr>
        <w:tabs>
          <w:tab w:val="num" w:pos="0"/>
        </w:tabs>
        <w:ind w:left="776" w:hanging="336"/>
      </w:pPr>
      <w:rPr>
        <w:rFonts w:ascii="wingdings" w:hAnsi="wingdings" w:cs="wingdings" w:hint="default"/>
      </w:rPr>
    </w:lvl>
    <w:lvl w:ilvl="2">
      <w:start w:val="1"/>
      <w:numFmt w:val="bullet"/>
      <w:lvlText w:val=""/>
      <w:lvlJc w:val="left"/>
      <w:pPr>
        <w:tabs>
          <w:tab w:val="num" w:pos="0"/>
        </w:tabs>
        <w:ind w:left="1216" w:hanging="336"/>
      </w:pPr>
      <w:rPr>
        <w:rFonts w:ascii="wingdings" w:hAnsi="wingdings" w:cs="wingdings" w:hint="default"/>
      </w:rPr>
    </w:lvl>
    <w:lvl w:ilvl="3">
      <w:start w:val="1"/>
      <w:numFmt w:val="bullet"/>
      <w:lvlText w:val=""/>
      <w:lvlJc w:val="left"/>
      <w:pPr>
        <w:tabs>
          <w:tab w:val="num" w:pos="0"/>
        </w:tabs>
        <w:ind w:left="1656" w:hanging="336"/>
      </w:pPr>
      <w:rPr>
        <w:rFonts w:ascii="wingdings" w:hAnsi="wingdings" w:cs="wingdings" w:hint="default"/>
      </w:rPr>
    </w:lvl>
    <w:lvl w:ilvl="4">
      <w:start w:val="1"/>
      <w:numFmt w:val="bullet"/>
      <w:lvlText w:val="¡"/>
      <w:lvlJc w:val="left"/>
      <w:pPr>
        <w:tabs>
          <w:tab w:val="num" w:pos="0"/>
        </w:tabs>
        <w:ind w:left="2096" w:hanging="336"/>
      </w:pPr>
      <w:rPr>
        <w:rFonts w:ascii="wingdings" w:hAnsi="wingdings" w:cs="wingdings" w:hint="default"/>
      </w:rPr>
    </w:lvl>
    <w:lvl w:ilvl="5">
      <w:start w:val="1"/>
      <w:numFmt w:val="bullet"/>
      <w:lvlText w:val=""/>
      <w:lvlJc w:val="left"/>
      <w:pPr>
        <w:tabs>
          <w:tab w:val="num" w:pos="0"/>
        </w:tabs>
        <w:ind w:left="2536" w:hanging="336"/>
      </w:pPr>
      <w:rPr>
        <w:rFonts w:ascii="wingdings" w:hAnsi="wingdings" w:cs="wingdings" w:hint="default"/>
      </w:rPr>
    </w:lvl>
    <w:lvl w:ilvl="6">
      <w:start w:val="1"/>
      <w:numFmt w:val="bullet"/>
      <w:lvlText w:val=""/>
      <w:lvlJc w:val="left"/>
      <w:pPr>
        <w:tabs>
          <w:tab w:val="num" w:pos="0"/>
        </w:tabs>
        <w:ind w:left="2976" w:hanging="336"/>
      </w:pPr>
      <w:rPr>
        <w:rFonts w:ascii="wingdings" w:hAnsi="wingdings" w:cs="wingdings" w:hint="default"/>
      </w:rPr>
    </w:lvl>
    <w:lvl w:ilvl="7">
      <w:start w:val="1"/>
      <w:numFmt w:val="bullet"/>
      <w:lvlText w:val="¡"/>
      <w:lvlJc w:val="left"/>
      <w:pPr>
        <w:tabs>
          <w:tab w:val="num" w:pos="0"/>
        </w:tabs>
        <w:ind w:left="3416" w:hanging="336"/>
      </w:pPr>
      <w:rPr>
        <w:rFonts w:ascii="wingdings" w:hAnsi="wingdings" w:cs="wingdings" w:hint="default"/>
      </w:rPr>
    </w:lvl>
    <w:lvl w:ilvl="8">
      <w:start w:val="1"/>
      <w:numFmt w:val="bullet"/>
      <w:lvlText w:val=""/>
      <w:lvlJc w:val="left"/>
      <w:pPr>
        <w:tabs>
          <w:tab w:val="num" w:pos="0"/>
        </w:tabs>
        <w:ind w:left="3856" w:hanging="336"/>
      </w:pPr>
      <w:rPr>
        <w:rFonts w:ascii="wingdings" w:hAnsi="wingdings" w:cs="wingdings" w:hint="default"/>
      </w:rPr>
    </w:lvl>
  </w:abstractNum>
  <w:abstractNum w:abstractNumId="4">
    <w:lvl w:ilvl="0">
      <w:start w:val="1"/>
      <w:numFmt w:val="decimal"/>
      <w:lvlText w:val="%1."/>
      <w:lvlJc w:val="left"/>
      <w:pPr>
        <w:tabs>
          <w:tab w:val="num" w:pos="0"/>
        </w:tabs>
        <w:ind w:left="336" w:hanging="336"/>
      </w:pPr>
      <w:rPr/>
    </w:lvl>
    <w:lvl w:ilvl="1">
      <w:start w:val="1"/>
      <w:numFmt w:val="lowerLetter"/>
      <w:lvlText w:val="%2."/>
      <w:lvlJc w:val="left"/>
      <w:pPr>
        <w:tabs>
          <w:tab w:val="num" w:pos="0"/>
        </w:tabs>
        <w:ind w:left="776" w:hanging="336"/>
      </w:pPr>
      <w:rPr/>
    </w:lvl>
    <w:lvl w:ilvl="2">
      <w:start w:val="1"/>
      <w:numFmt w:val="lowerRoman"/>
      <w:lvlText w:val="%3."/>
      <w:lvlJc w:val="left"/>
      <w:pPr>
        <w:tabs>
          <w:tab w:val="num" w:pos="0"/>
        </w:tabs>
        <w:ind w:left="1216" w:hanging="336"/>
      </w:pPr>
      <w:rPr/>
    </w:lvl>
    <w:lvl w:ilvl="3">
      <w:start w:val="1"/>
      <w:numFmt w:val="decimal"/>
      <w:lvlText w:val="%4."/>
      <w:lvlJc w:val="left"/>
      <w:pPr>
        <w:tabs>
          <w:tab w:val="num" w:pos="0"/>
        </w:tabs>
        <w:ind w:left="1656" w:hanging="336"/>
      </w:pPr>
      <w:rPr/>
    </w:lvl>
    <w:lvl w:ilvl="4">
      <w:start w:val="1"/>
      <w:numFmt w:val="lowerLetter"/>
      <w:lvlText w:val="%5."/>
      <w:lvlJc w:val="left"/>
      <w:pPr>
        <w:tabs>
          <w:tab w:val="num" w:pos="0"/>
        </w:tabs>
        <w:ind w:left="2096" w:hanging="336"/>
      </w:pPr>
      <w:rPr/>
    </w:lvl>
    <w:lvl w:ilvl="5">
      <w:start w:val="1"/>
      <w:numFmt w:val="lowerRoman"/>
      <w:lvlText w:val="%6."/>
      <w:lvlJc w:val="left"/>
      <w:pPr>
        <w:tabs>
          <w:tab w:val="num" w:pos="0"/>
        </w:tabs>
        <w:ind w:left="2536" w:hanging="336"/>
      </w:pPr>
      <w:rPr/>
    </w:lvl>
    <w:lvl w:ilvl="6">
      <w:start w:val="1"/>
      <w:numFmt w:val="decimal"/>
      <w:lvlText w:val="%7."/>
      <w:lvlJc w:val="left"/>
      <w:pPr>
        <w:tabs>
          <w:tab w:val="num" w:pos="0"/>
        </w:tabs>
        <w:ind w:left="2976" w:hanging="336"/>
      </w:pPr>
      <w:rPr/>
    </w:lvl>
    <w:lvl w:ilvl="7">
      <w:start w:val="1"/>
      <w:numFmt w:val="lowerLetter"/>
      <w:lvlText w:val="%8."/>
      <w:lvlJc w:val="left"/>
      <w:pPr>
        <w:tabs>
          <w:tab w:val="num" w:pos="0"/>
        </w:tabs>
        <w:ind w:left="3416" w:hanging="336"/>
      </w:pPr>
      <w:rPr/>
    </w:lvl>
    <w:lvl w:ilvl="8">
      <w:start w:val="1"/>
      <w:numFmt w:val="lowerRoman"/>
      <w:lvlText w:val="%9."/>
      <w:lvlJc w:val="left"/>
      <w:pPr>
        <w:tabs>
          <w:tab w:val="num" w:pos="0"/>
        </w:tabs>
        <w:ind w:left="3856" w:hanging="336"/>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embedSystemFonts/>
  <w:defaultTabStop w:val="420"/>
  <w:autoHyphenation w:val="true"/>
  <w:compat>
    <w:doNotExpandShiftReturn/>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微软雅黑" w:cs="Arial"/>
        <w:lang w:val="en-US" w:eastAsia="zh-CN" w:bidi="ar-SA"/>
      </w:rPr>
    </w:rPrDefault>
    <w:pPrDefault>
      <w:pPr>
        <w:suppressAutoHyphens w:val="true"/>
      </w:pPr>
    </w:pPrDefault>
  </w:docDefaults>
  <w:latentStyles w:defLockedState="0" w:defUIPriority="0" w:defSemiHidden="0" w:defUnhideWhenUsed="0" w:defQFormat="0" w:count="376">
    <w:lsdException w:name="Table Classic 1" w:semiHidden="1" w:unhideWhenUsed="1"/>
    <w:lsdException w:name="Table Columns 4" w:semiHidden="1" w:unhideWhenUsed="1"/>
    <w:lsdException w:name="Medium Grid 2 Accent 3" w:uiPriority="68"/>
    <w:lsdException w:name="Colorful Shading" w:uiPriority="71"/>
    <w:lsdException w:name="Light Shading Accent 4" w:uiPriority="60"/>
    <w:lsdException w:name="Colorful Grid Accent 2" w:uiPriority="73"/>
    <w:lsdException w:name="HTML Top of Form" w:uiPriority="99" w:semiHidden="1" w:unhideWhenUsed="1"/>
    <w:lsdException w:name="Colorful List" w:uiPriority="72"/>
    <w:lsdException w:name="Medium List 1 Accent 6" w:uiPriority="65"/>
    <w:lsdException w:name="Grid Table 3 Accent 4" w:uiPriority="48"/>
    <w:lsdException w:name="Grid Table 3" w:uiPriority="48"/>
    <w:lsdException w:name="Table Elegant" w:semiHidden="1" w:unhideWhenUsed="1"/>
    <w:lsdException w:name="Medium Shading 2 Accent 5" w:uiPriority="64"/>
    <w:lsdException w:name="Subtitle" w:qFormat="1"/>
    <w:lsdException w:name="Table Simple 1" w:semiHidden="1" w:unhideWhenUsed="1"/>
    <w:lsdException w:name="toc 5" w:uiPriority="99"/>
    <w:lsdException w:name="Intense Reference" w:uiPriority="32" w:qFormat="1"/>
    <w:lsdException w:name="Table List 2" w:semiHidden="1" w:unhideWhenUsed="1"/>
    <w:lsdException w:name="Grid Table 5 Dark Accent 2" w:uiPriority="50"/>
    <w:lsdException w:name="Medium Shading 2" w:uiPriority="64"/>
    <w:lsdException w:name="Table List 5" w:semiHidden="1" w:unhideWhenUsed="1"/>
    <w:lsdException w:name="List Table 7 Colorful" w:uiPriority="52"/>
    <w:lsdException w:name="Medium Shading 1 Accent 6" w:uiPriority="63"/>
    <w:lsdException w:name="Light List" w:uiPriority="61"/>
    <w:lsdException w:name="Mention" w:uiPriority="99" w:semiHidden="1" w:unhideWhenUsed="1"/>
    <w:lsdException w:name="List Table 2 Accent 4" w:uiPriority="47"/>
    <w:lsdException w:name="List Table 6 Colorful Accent 5" w:uiPriority="51"/>
    <w:lsdException w:name="Grid Table 7 Colorful Accent 5" w:uiPriority="52"/>
    <w:lsdException w:name="Table Grid 2" w:semiHidden="1" w:unhideWhenUsed="1"/>
    <w:lsdException w:name="Grid Table Light" w:uiPriority="40"/>
    <w:lsdException w:name="Grid Table 2 Accent 2" w:uiPriority="47"/>
    <w:lsdException w:name="List Table 6 Colorful Accent 2" w:uiPriority="51"/>
    <w:lsdException w:name="heading 1" w:qFormat="1"/>
    <w:lsdException w:name="List Table 2 Accent 6" w:uiPriority="47"/>
    <w:lsdException w:name="Normal" w:qFormat="1"/>
    <w:lsdException w:name="Grid Table 1 Light Accent 1" w:uiPriority="46"/>
    <w:lsdException w:name="Light List Accent 5" w:uiPriority="61"/>
    <w:lsdException w:name="Light Grid Accent 6" w:uiPriority="62"/>
    <w:lsdException w:name="Smart Hyperlink" w:uiPriority="99" w:semiHidden="1" w:unhideWhenUsed="1"/>
    <w:lsdException w:name="HTML Keyboard" w:uiPriority="99"/>
    <w:lsdException w:name="Medium List 1 Accent 5" w:uiPriority="65"/>
    <w:lsdException w:name="List Table 2" w:uiPriority="47"/>
    <w:lsdException w:name="Grid Table 4 Accent 1" w:uiPriority="49"/>
    <w:lsdException w:name="Grid Table 6 Colorful Accent 3" w:uiPriority="51"/>
    <w:lsdException w:name="Table Grid 6" w:semiHidden="1" w:unhideWhenUsed="1"/>
    <w:lsdException w:name="toc 6" w:uiPriority="99"/>
    <w:lsdException w:name="heading 3" w:qFormat="1"/>
    <w:lsdException w:name="HTML Typewriter" w:uiPriority="99"/>
    <w:lsdException w:name="Table Grid" w:qFormat="1"/>
    <w:lsdException w:name="Table Colorful 3" w:semiHidden="1" w:unhideWhenUsed="1"/>
    <w:lsdException w:name="Table Theme" w:semiHidden="1" w:unhideWhenUsed="1"/>
    <w:lsdException w:name="toc 9" w:uiPriority="99"/>
    <w:lsdException w:name="HTML Variable" w:uiPriority="99"/>
    <w:lsdException w:name="List Table 4" w:uiPriority="49"/>
    <w:lsdException w:name="Grid Table 1 Light Accent 3" w:uiPriority="46"/>
    <w:lsdException w:name="Table List 7" w:semiHidden="1" w:unhideWhenUsed="1"/>
    <w:lsdException w:name="HTML Definition" w:uiPriority="99"/>
    <w:lsdException w:name="Outline List 1" w:uiPriority="99" w:semiHidden="1" w:unhideWhenUsed="1"/>
    <w:lsdException w:name="Table List 6" w:semiHidden="1" w:unhideWhenUsed="1"/>
    <w:lsdException w:name="List Table 7 Colorful Accent 2" w:uiPriority="52"/>
    <w:lsdException w:name="List Table 6 Colorful Accent 4" w:uiPriority="51"/>
    <w:lsdException w:name="toc 4" w:uiPriority="99"/>
    <w:lsdException w:name="Colorful Shading Accent 5" w:uiPriority="71"/>
    <w:lsdException w:name="Table Columns 5" w:semiHidden="1" w:unhideWhenUsed="1"/>
    <w:lsdException w:name="Colorful List Accent 4" w:uiPriority="72"/>
    <w:lsdException w:name="Light Shading Accent 6" w:uiPriority="60"/>
    <w:lsdException w:name="Plain Table 1" w:uiPriority="41"/>
    <w:lsdException w:name="Table Grid 3" w:semiHidden="1" w:unhideWhenUsed="1"/>
    <w:lsdException w:name="Grid Table 4 Accent 3" w:uiPriority="49"/>
    <w:lsdException w:name="List Table 3" w:uiPriority="48"/>
    <w:lsdException w:name="Medium Shading 2 Accent 3" w:uiPriority="64"/>
    <w:lsdException w:name="Dark List Accent 2" w:uiPriority="70"/>
    <w:lsdException w:name="toc 3" w:uiPriority="99"/>
    <w:lsdException w:name="Grid Table 5 Dark Accent 5" w:uiPriority="50"/>
    <w:lsdException w:name="Table Web 1" w:semiHidden="1" w:unhideWhenUsed="1"/>
    <w:lsdException w:name="Grid Table 6 Colorful Accent 5" w:uiPriority="51"/>
    <w:lsdException w:name="Medium Grid 1 Accent 2" w:uiPriority="67"/>
    <w:lsdException w:name="Medium Shading 2 Accent 1" w:uiPriority="64"/>
    <w:lsdException w:name="Grid Table 1 Light" w:uiPriority="46"/>
    <w:lsdException w:name="No List" w:uiPriority="99" w:semiHidden="1" w:unhideWhenUsed="1"/>
    <w:lsdException w:name="Light Shading" w:uiPriority="60"/>
    <w:lsdException w:name="List Table 1 Light Accent 3" w:uiPriority="46"/>
    <w:lsdException w:name="Medium Shading 1 Accent 2" w:uiPriority="63"/>
    <w:lsdException w:name="Dark List Accent 1" w:uiPriority="70"/>
    <w:lsdException w:name="Grid Table 2 Accent 4" w:uiPriority="47"/>
    <w:lsdException w:name="Colorful Grid" w:uiPriority="73"/>
    <w:lsdException w:name="List Table 7 Colorful Accent 6" w:uiPriority="52"/>
    <w:lsdException w:name="Table 3D effects 3" w:semiHidden="1" w:unhideWhenUsed="1"/>
    <w:lsdException w:name="List Table 2 Accent 1" w:uiPriority="47"/>
    <w:lsdException w:name="Table List 4" w:semiHidden="1" w:unhideWhenUsed="1"/>
    <w:lsdException w:name="List Table 3 Accent 4" w:uiPriority="48"/>
    <w:lsdException w:name="List Table 1 Light Accent 1" w:uiPriority="46"/>
    <w:lsdException w:name="Light Grid Accent 3" w:uiPriority="62"/>
    <w:lsdException w:name="Medium List 1 Accent 4" w:uiPriority="65"/>
    <w:lsdException w:name="List Table 4 Accent 5" w:uiPriority="49"/>
    <w:lsdException w:name="List Table 1 Light Accent 5" w:uiPriority="46"/>
    <w:lsdException w:name="Grid Table 3 Accent 5" w:uiPriority="48"/>
    <w:lsdException w:name="Medium List 2 Accent 4" w:uiPriority="66"/>
    <w:lsdException w:name="List Table 3 Accent 5" w:uiPriority="48"/>
    <w:lsdException w:name="caption" w:semiHidden="1" w:unhideWhenUsed="1" w:qFormat="1"/>
    <w:lsdException w:name="Grid Table 1 Light Accent 2" w:uiPriority="46"/>
    <w:lsdException w:name="Grid Table 2 Accent 5" w:uiPriority="47"/>
    <w:lsdException w:name="Medium Grid 3 Accent 5" w:uiPriority="69"/>
    <w:lsdException w:name="Default Paragraph Font" w:uiPriority="1" w:semiHidden="1" w:unhideWhenUsed="1"/>
    <w:lsdException w:name="Table Colorful 1" w:semiHidden="1" w:unhideWhenUsed="1"/>
    <w:lsdException w:name="Plain Table 2" w:uiPriority="42"/>
    <w:lsdException w:name="Grid Table 5 Dark Accent 6" w:uiPriority="50"/>
    <w:lsdException w:name="Table Colorful 2" w:semiHidden="1" w:unhideWhenUsed="1"/>
    <w:lsdException w:name="Table List 1" w:semiHidden="1" w:unhideWhenUsed="1"/>
    <w:lsdException w:name="HTML Bottom of Form" w:uiPriority="99" w:semiHidden="1" w:unhideWhenUsed="1"/>
    <w:lsdException w:name="Colorful List Accent 1" w:uiPriority="72"/>
    <w:lsdException w:name="Table Classic 4" w:semiHidden="1" w:unhideWhenUsed="1"/>
    <w:lsdException w:name="Intense Quote" w:uiPriority="99"/>
    <w:lsdException w:name="Colorful Shading Accent 3" w:uiPriority="71"/>
    <w:lsdException w:name="Light List Accent 6" w:uiPriority="61"/>
    <w:lsdException w:name="Medium List 2 Accent 3" w:uiPriority="66"/>
    <w:lsdException w:name="List Table 5 Dark Accent 4" w:uiPriority="50"/>
    <w:lsdException w:name="Table Grid 8" w:semiHidden="1" w:unhideWhenUsed="1"/>
    <w:lsdException w:name="List Table 2 Accent 5" w:uiPriority="47"/>
    <w:lsdException w:name="Table Classic 3" w:semiHidden="1" w:unhideWhenUsed="1"/>
    <w:lsdException w:name="heading 7" w:unhideWhenUsed="1" w:qFormat="1"/>
    <w:lsdException w:name="List Table 7 Colorful Accent 3" w:uiPriority="52"/>
    <w:lsdException w:name="toc 8" w:uiPriority="99"/>
    <w:lsdException w:name="Grid Table 1 Light Accent 6" w:uiPriority="46"/>
    <w:lsdException w:name="List Table 5 Dark Accent 1" w:uiPriority="50"/>
    <w:lsdException w:name="heading 8" w:unhideWhenUsed="1" w:qFormat="1"/>
    <w:lsdException w:name="Grid Table 1 Light Accent 4" w:uiPriority="46"/>
    <w:lsdException w:name="Medium Grid 3" w:uiPriority="69"/>
    <w:lsdException w:name="Grid Table 3 Accent 2" w:uiPriority="48"/>
    <w:lsdException w:name="Medium Shading 2 Accent 2" w:uiPriority="64"/>
    <w:lsdException w:name="List Table 5 Dark" w:uiPriority="50"/>
    <w:lsdException w:name="Dark List" w:uiPriority="70"/>
    <w:lsdException w:name="List Table 1 Light Accent 4" w:uiPriority="46"/>
    <w:lsdException w:name="TOC Heading" w:uiPriority="39" w:semiHidden="1" w:unhideWhenUsed="1" w:qFormat="1"/>
    <w:lsdException w:name="Colorful Grid Accent 4" w:uiPriority="73"/>
    <w:lsdException w:name="List Table 6 Colorful Accent 1" w:uiPriority="51"/>
    <w:lsdException w:name="List Table 3 Accent 3" w:uiPriority="48"/>
    <w:lsdException w:name="List Table 5 Dark Accent 6" w:uiPriority="50"/>
    <w:lsdException w:name="List Table 3 Accent 6" w:uiPriority="48"/>
    <w:lsdException w:name="Grid Table 6 Colorful Accent 6" w:uiPriority="51"/>
    <w:lsdException w:name="List Table 3 Accent 1" w:uiPriority="48"/>
    <w:lsdException w:name="Colorful Grid Accent 6" w:uiPriority="73"/>
    <w:lsdException w:name="Colorful Shading Accent 6" w:uiPriority="71"/>
    <w:lsdException w:name="Subtle Reference" w:uiPriority="31" w:qFormat="1"/>
    <w:lsdException w:name="Medium Grid 3 Accent 6" w:uiPriority="69"/>
    <w:lsdException w:name="heading 5" w:qFormat="1"/>
    <w:lsdException w:name="HTML Code" w:uiPriority="99"/>
    <w:lsdException w:name="HTML Preformatted" w:uiPriority="99"/>
    <w:lsdException w:name="Table Columns 1" w:semiHidden="1" w:unhideWhenUsed="1"/>
    <w:lsdException w:name="Medium Grid 1 Accent 5" w:uiPriority="67"/>
    <w:lsdException w:name="Light Shading Accent 5" w:uiPriority="60"/>
    <w:lsdException w:name="Medium Grid 3 Accent 1" w:uiPriority="69"/>
    <w:lsdException w:name="Table Professional" w:semiHidden="1" w:unhideWhenUsed="1"/>
    <w:lsdException w:name="Table Grid 7" w:semiHidden="1" w:unhideWhenUsed="1"/>
    <w:lsdException w:name="Grid Table 6 Colorful" w:uiPriority="51"/>
    <w:lsdException w:name="Medium List 2 Accent 2" w:uiPriority="66"/>
    <w:lsdException w:name="Intense Emphasis" w:uiPriority="21" w:qFormat="1"/>
    <w:lsdException w:name="Grid Table 5 Dark Accent 1" w:uiPriority="50"/>
    <w:lsdException w:name="Grid Table 5 Dark Accent 3" w:uiPriority="50"/>
    <w:lsdException w:name="Plain Table 4" w:uiPriority="44"/>
    <w:lsdException w:name="List Table 3 Accent 2" w:uiPriority="48"/>
    <w:lsdException w:name="Table Classic 2" w:semiHidden="1" w:unhideWhenUsed="1"/>
    <w:lsdException w:name="Colorful Grid Accent 1" w:uiPriority="73"/>
    <w:lsdException w:name="heading 6" w:qFormat="1"/>
    <w:lsdException w:name="heading 4" w:qFormat="1"/>
    <w:lsdException w:name="Table Grid 4" w:semiHidden="1" w:unhideWhenUsed="1"/>
    <w:lsdException w:name="Medium Grid 2 Accent 5" w:uiPriority="68"/>
    <w:lsdException w:name="Quote" w:uiPriority="99"/>
    <w:lsdException w:name="Light List Accent 1" w:uiPriority="61"/>
    <w:lsdException w:name="List Table 5 Dark Accent 5" w:uiPriority="50"/>
    <w:lsdException w:name="Table Grid 1" w:semiHidden="1" w:unhideWhenUsed="1"/>
    <w:lsdException w:name="Grid Table 4 Accent 2" w:uiPriority="49"/>
    <w:lsdException w:name="Medium Grid 1 Accent 6" w:uiPriority="67"/>
    <w:lsdException w:name="Table Subtle 1" w:semiHidden="1" w:unhideWhenUsed="1"/>
    <w:lsdException w:name="Medium Shading 1 Accent 5" w:uiPriority="63"/>
    <w:lsdException w:name="Strong" w:qFormat="1"/>
    <w:lsdException w:name="Table Columns 2" w:semiHidden="1" w:unhideWhenUsed="1"/>
    <w:lsdException w:name="Table 3D effects 2" w:semiHidden="1" w:unhideWhenUsed="1"/>
    <w:lsdException w:name="List Table 5 Dark Accent 2" w:uiPriority="50"/>
    <w:lsdException w:name="Grid Table 3 Accent 6" w:uiPriority="48"/>
    <w:lsdException w:name="HTML Sample" w:uiPriority="99"/>
    <w:lsdException w:name="Medium Shading 1 Accent 1" w:uiPriority="63"/>
    <w:lsdException w:name="Medium Grid 2 Accent 4" w:uiPriority="68"/>
    <w:lsdException w:name="List Table 4 Accent 1" w:uiPriority="49"/>
    <w:lsdException w:name="Medium List 1" w:uiPriority="65"/>
    <w:lsdException w:name="Medium Grid 2 Accent 2" w:uiPriority="68"/>
    <w:lsdException w:name="No Spacing" w:uiPriority="99"/>
    <w:lsdException w:name="Colorful List Accent 6" w:uiPriority="72"/>
    <w:lsdException w:name="Grid Table 5 Dark Accent 4" w:uiPriority="50"/>
    <w:lsdException w:name="Dark List Accent 5" w:uiPriority="70"/>
    <w:lsdException w:name="Colorful Shading Accent 2" w:uiPriority="71"/>
    <w:lsdException w:name="footnote reference" w:uiPriority="99" w:semiHidden="1" w:unhideWhenUsed="1"/>
    <w:lsdException w:name="Light Shading Accent 2" w:uiPriority="60"/>
    <w:lsdException w:name="Light Grid Accent 4" w:uiPriority="62"/>
    <w:lsdException w:name="Plain Table 5" w:uiPriority="45"/>
    <w:lsdException w:name="Grid Table 7 Colorful Accent 2" w:uiPriority="52"/>
    <w:lsdException w:name="List Table 5 Dark Accent 3" w:uiPriority="50"/>
    <w:lsdException w:name="Colorful Grid Accent 3" w:uiPriority="73"/>
    <w:lsdException w:name="List Table 7 Colorful Accent 4" w:uiPriority="52"/>
    <w:lsdException w:name="Grid Table 2 Accent 1" w:uiPriority="47"/>
    <w:lsdException w:name="Medium List 2 Accent 1" w:uiPriority="66"/>
    <w:lsdException w:name="Light Grid Accent 2" w:uiPriority="62"/>
    <w:lsdException w:name="Table 3D effects 1" w:semiHidden="1" w:unhideWhenUsed="1"/>
    <w:lsdException w:name="Medium Grid 3 Accent 2" w:uiPriority="69"/>
    <w:lsdException w:name="Colorful List Accent 5" w:uiPriority="72"/>
    <w:lsdException w:name="Light Grid Accent 1" w:uiPriority="62"/>
    <w:lsdException w:name="List Table 1 Light" w:uiPriority="46"/>
    <w:lsdException w:name="Grid Table 7 Colorful" w:uiPriority="52"/>
    <w:lsdException w:name="Medium Grid 1 Accent 3" w:uiPriority="67"/>
    <w:lsdException w:name="Grid Table 6 Colorful Accent 4" w:uiPriority="51"/>
    <w:lsdException w:name="Light List Accent 4" w:uiPriority="61"/>
    <w:lsdException w:name="Table Simple 2" w:semiHidden="1" w:unhideWhenUsed="1"/>
    <w:lsdException w:name="Grid Table 7 Colorful Accent 3" w:uiPriority="52"/>
    <w:lsdException w:name="Medium Grid 2 Accent 6" w:uiPriority="68"/>
    <w:lsdException w:name="Grid Table 3 Accent 3" w:uiPriority="48"/>
    <w:lsdException w:name="Grid Table 6 Colorful Accent 1" w:uiPriority="51"/>
    <w:lsdException w:name="Light Grid" w:uiPriority="62"/>
    <w:lsdException w:name="Medium Grid 1 Accent 4" w:uiPriority="67"/>
    <w:lsdException w:name="Grid Table 4 Accent 4" w:uiPriority="49"/>
    <w:lsdException w:name="Medium Shading 1 Accent 4" w:uiPriority="63"/>
    <w:lsdException w:name="List Table 1 Light Accent 6" w:uiPriority="46"/>
    <w:lsdException w:name="Colorful List Accent 3" w:uiPriority="72"/>
    <w:lsdException w:name="Light Shading Accent 3" w:uiPriority="60"/>
    <w:lsdException w:name="List Table 4 Accent 4" w:uiPriority="49"/>
    <w:lsdException w:name="List Table 4 Accent 6" w:uiPriority="49"/>
    <w:lsdException w:name="List Table 6 Colorful Accent 3" w:uiPriority="51"/>
    <w:lsdException w:name="Dark List Accent 6" w:uiPriority="70"/>
    <w:lsdException w:name="Medium Grid 2" w:uiPriority="68"/>
    <w:lsdException w:name="Grid Table 3 Accent 1" w:uiPriority="48"/>
    <w:lsdException w:name="Colorful Shading Accent 1" w:uiPriority="71"/>
    <w:lsdException w:name="Medium List 1 Accent 2" w:uiPriority="65"/>
    <w:lsdException w:name="Medium Shading 1 Accent 3" w:uiPriority="63"/>
    <w:lsdException w:name="Table Web 3" w:semiHidden="1" w:unhideWhenUsed="1"/>
    <w:lsdException w:name="Title" w:qFormat="1"/>
    <w:lsdException w:name="Grid Table 2 Accent 3" w:uiPriority="47"/>
    <w:lsdException w:name="toc 1" w:uiPriority="99"/>
    <w:lsdException w:name="List Table 7 Colorful Accent 5" w:uiPriority="52"/>
    <w:lsdException w:name="Grid Table 5 Dark" w:uiPriority="50"/>
    <w:lsdException w:name="Medium List 2" w:uiPriority="66"/>
    <w:lsdException w:name="Normal Table" w:uiPriority="99" w:semiHidden="1" w:unhideWhenUsed="1"/>
    <w:lsdException w:name="Subtle Emphasis" w:uiPriority="19" w:qFormat="1"/>
    <w:lsdException w:name="Light List Accent 3" w:uiPriority="61"/>
    <w:lsdException w:name="heading 2" w:qFormat="1"/>
    <w:lsdException w:name="List Table 2 Accent 3" w:uiPriority="47"/>
    <w:lsdException w:name="List Paragraph" w:uiPriority="99"/>
    <w:lsdException w:name="Medium List 2 Accent 5" w:uiPriority="66"/>
    <w:lsdException w:name="Medium Grid 1" w:uiPriority="67"/>
    <w:lsdException w:name="Medium Grid 1 Accent 1" w:uiPriority="67"/>
    <w:lsdException w:name="toc 7" w:uiPriority="99"/>
    <w:lsdException w:name="Medium Grid 3 Accent 4" w:uiPriority="69"/>
    <w:lsdException w:name="Medium Grid 3 Accent 3" w:uiPriority="69"/>
    <w:lsdException w:name="Medium Shading 2 Accent 6" w:uiPriority="64"/>
    <w:lsdException w:name="Table Columns 3" w:semiHidden="1" w:unhideWhenUsed="1"/>
    <w:lsdException w:name="Table Web 2" w:semiHidden="1" w:unhideWhenUsed="1"/>
    <w:lsdException w:name="List Table 7 Colorful Accent 1" w:uiPriority="52"/>
    <w:lsdException w:name="heading 9" w:unhideWhenUsed="1" w:qFormat="1"/>
    <w:lsdException w:name="Grid Table 2" w:uiPriority="47"/>
    <w:lsdException w:name="Emphasis" w:qFormat="1"/>
    <w:lsdException w:name="Light Grid Accent 5" w:uiPriority="62"/>
    <w:lsdException w:name="Placeholder Text" w:uiPriority="99" w:semiHidden="1"/>
    <w:lsdException w:name="Unresolved Mention" w:uiPriority="99" w:semiHidden="1" w:unhideWhenUsed="1"/>
    <w:lsdException w:name="Medium Shading 2 Accent 4" w:uiPriority="64"/>
    <w:lsdException w:name="Grid Table 1 Light Accent 5" w:uiPriority="46"/>
    <w:lsdException w:name="Grid Table 6 Colorful Accent 2" w:uiPriority="51"/>
    <w:lsdException w:name="List Table 6 Colorful" w:uiPriority="51"/>
    <w:lsdException w:name="List Table 4 Accent 3" w:uiPriority="49"/>
    <w:lsdException w:name="Medium List 1 Accent 3" w:uiPriority="65"/>
    <w:lsdException w:name="Grid Table 7 Colorful Accent 6" w:uiPriority="52"/>
    <w:lsdException w:name="Smart Link" w:uiPriority="99" w:semiHidden="1" w:unhideWhenUsed="1"/>
    <w:lsdException w:name="List Table 4 Accent 2" w:uiPriority="49"/>
    <w:lsdException w:name="Colorful Grid Accent 5" w:uiPriority="73"/>
    <w:lsdException w:name="Bibliography" w:uiPriority="37" w:semiHidden="1" w:unhideWhenUsed="1"/>
    <w:lsdException w:name="toc 2" w:uiPriority="99"/>
    <w:lsdException w:name="Table Simple 3" w:semiHidden="1" w:unhideWhenUsed="1"/>
    <w:lsdException w:name="footnote text" w:uiPriority="99" w:semiHidden="1" w:unhideWhenUsed="1"/>
    <w:lsdException w:name="Grid Table 4 Accent 5" w:uiPriority="49"/>
    <w:lsdException w:name="Table List 8" w:semiHidden="1" w:unhideWhenUsed="1"/>
    <w:lsdException w:name="Colorful List Accent 2" w:uiPriority="72"/>
    <w:lsdException w:name="List Table 6 Colorful Accent 6" w:uiPriority="51"/>
    <w:lsdException w:name="List Table 2 Accent 2" w:uiPriority="47"/>
    <w:lsdException w:name="Revision" w:uiPriority="99" w:semiHidden="1"/>
    <w:lsdException w:name="HTML Cite" w:uiPriority="99"/>
    <w:lsdException w:name="Plain Table 3" w:uiPriority="43"/>
    <w:lsdException w:name="Medium List 1 Accent 1" w:uiPriority="65"/>
    <w:lsdException w:name="Table Subtle 2" w:semiHidden="1" w:unhideWhenUsed="1"/>
    <w:lsdException w:name="Dark List Accent 3" w:uiPriority="70"/>
    <w:lsdException w:name="HTML Acronym" w:uiPriority="99"/>
    <w:lsdException w:name="Colorful Shading Accent 4" w:uiPriority="71"/>
    <w:lsdException w:name="Grid Table 7 Colorful Accent 4" w:uiPriority="52"/>
    <w:lsdException w:name="Light List Accent 2" w:uiPriority="61"/>
    <w:lsdException w:name="Light Shading Accent 1" w:uiPriority="60"/>
    <w:lsdException w:name="Hashtag" w:uiPriority="99" w:semiHidden="1" w:unhideWhenUsed="1"/>
    <w:lsdException w:name="Outline List 3" w:uiPriority="99" w:semiHidden="1" w:unhideWhenUsed="1"/>
    <w:lsdException w:name="Grid Table 2 Accent 6" w:uiPriority="47"/>
    <w:lsdException w:name="Medium Grid 2 Accent 1" w:uiPriority="68"/>
    <w:lsdException w:name="Dark List Accent 4" w:uiPriority="70"/>
    <w:lsdException w:name="Outline List 2" w:uiPriority="99" w:semiHidden="1" w:unhideWhenUsed="1"/>
    <w:lsdException w:name="Grid Table 4 Accent 6" w:uiPriority="49"/>
    <w:lsdException w:name="HTML Address" w:uiPriority="99"/>
    <w:lsdException w:name="Book Title" w:uiPriority="33" w:qFormat="1"/>
    <w:lsdException w:name="Grid Table 7 Colorful Accent 1" w:uiPriority="52"/>
    <w:lsdException w:name="Medium List 2 Accent 6" w:uiPriority="66"/>
    <w:lsdException w:name="Table Contemporary" w:semiHidden="1" w:unhideWhenUsed="1"/>
    <w:lsdException w:name="List Table 1 Light Accent 2" w:uiPriority="46"/>
    <w:lsdException w:name="Grid Table 4" w:uiPriority="49"/>
    <w:lsdException w:name="Table List 3" w:semiHidden="1" w:unhideWhenUsed="1"/>
    <w:lsdException w:name="Table Grid 5" w:semiHidden="1" w:unhideWhenUsed="1"/>
    <w:lsdException w:name="Medium Shading 1" w:uiPriority="63"/>
  </w:latentStyles>
  <w:style w:type="paragraph" w:styleId="Normal" w:default="1">
    <w:name w:val="Normal"/>
    <w:qFormat/>
    <w:pPr>
      <w:widowControl w:val="false"/>
      <w:bidi w:val="0"/>
      <w:spacing w:before="60" w:after="60"/>
      <w:jc w:val="both"/>
    </w:pPr>
    <w:rPr>
      <w:rFonts w:ascii="Arial" w:hAnsi="Arial" w:eastAsia="微软雅黑" w:cs="Arial"/>
      <w:color w:val="333333"/>
      <w:kern w:val="2"/>
      <w:sz w:val="22"/>
      <w:szCs w:val="24"/>
      <w:lang w:val="en-US" w:eastAsia="zh-CN" w:bidi="ar-SA"/>
    </w:rPr>
  </w:style>
  <w:style w:type="paragraph" w:styleId="1">
    <w:name w:val="Heading 1"/>
    <w:basedOn w:val="Normal"/>
    <w:next w:val="Normal"/>
    <w:qFormat/>
    <w:pPr>
      <w:keepNext w:val="true"/>
      <w:keepLines/>
      <w:outlineLvl w:val="0"/>
    </w:pPr>
    <w:rPr>
      <w:b/>
      <w:kern w:val="2"/>
      <w:sz w:val="36"/>
    </w:rPr>
  </w:style>
  <w:style w:type="paragraph" w:styleId="2">
    <w:name w:val="Heading 2"/>
    <w:basedOn w:val="Normal"/>
    <w:next w:val="Normal"/>
    <w:qFormat/>
    <w:pPr>
      <w:keepNext w:val="true"/>
      <w:keepLines/>
      <w:outlineLvl w:val="1"/>
    </w:pPr>
    <w:rPr>
      <w:b/>
      <w:sz w:val="32"/>
    </w:rPr>
  </w:style>
  <w:style w:type="paragraph" w:styleId="3">
    <w:name w:val="Heading 3"/>
    <w:basedOn w:val="Normal"/>
    <w:next w:val="Normal"/>
    <w:qFormat/>
    <w:pPr>
      <w:keepNext w:val="true"/>
      <w:keepLines/>
      <w:outlineLvl w:val="2"/>
    </w:pPr>
    <w:rPr>
      <w:b/>
      <w:sz w:val="28"/>
    </w:rPr>
  </w:style>
  <w:style w:type="paragraph" w:styleId="4">
    <w:name w:val="Heading 4"/>
    <w:basedOn w:val="Normal"/>
    <w:next w:val="Normal"/>
    <w:qFormat/>
    <w:pPr>
      <w:keepNext w:val="true"/>
      <w:keepLines/>
      <w:outlineLvl w:val="3"/>
    </w:pPr>
    <w:rPr>
      <w:b/>
      <w:sz w:val="24"/>
    </w:rPr>
  </w:style>
  <w:style w:type="paragraph" w:styleId="5">
    <w:name w:val="Heading 5"/>
    <w:basedOn w:val="Normal"/>
    <w:next w:val="Normal"/>
    <w:qFormat/>
    <w:pPr>
      <w:keepNext w:val="true"/>
      <w:keepLines/>
      <w:spacing w:lineRule="auto" w:line="480"/>
      <w:outlineLvl w:val="4"/>
    </w:pPr>
    <w:rPr>
      <w:b/>
    </w:rPr>
  </w:style>
  <w:style w:type="paragraph" w:styleId="6">
    <w:name w:val="Heading 6"/>
    <w:basedOn w:val="Normal"/>
    <w:next w:val="Normal"/>
    <w:qFormat/>
    <w:pPr>
      <w:keepNext w:val="true"/>
      <w:keepLines/>
      <w:spacing w:lineRule="auto" w:line="480"/>
      <w:outlineLvl w:val="5"/>
    </w:pPr>
    <w:rPr>
      <w:b/>
    </w:rPr>
  </w:style>
  <w:style w:type="paragraph" w:styleId="7">
    <w:name w:val="Heading 7"/>
    <w:basedOn w:val="Normal"/>
    <w:next w:val="Normal"/>
    <w:unhideWhenUsed/>
    <w:qFormat/>
    <w:pPr>
      <w:keepNext w:val="true"/>
      <w:keepLines/>
      <w:spacing w:lineRule="auto" w:line="480"/>
      <w:outlineLvl w:val="6"/>
    </w:pPr>
    <w:rPr>
      <w:b/>
    </w:rPr>
  </w:style>
  <w:style w:type="paragraph" w:styleId="8">
    <w:name w:val="Heading 8"/>
    <w:basedOn w:val="Normal"/>
    <w:next w:val="Normal"/>
    <w:unhideWhenUsed/>
    <w:qFormat/>
    <w:pPr>
      <w:keepNext w:val="true"/>
      <w:keepLines/>
      <w:spacing w:lineRule="auto" w:line="480"/>
      <w:outlineLvl w:val="7"/>
    </w:pPr>
    <w:rPr>
      <w:b/>
    </w:rPr>
  </w:style>
  <w:style w:type="paragraph" w:styleId="9">
    <w:name w:val="Heading 9"/>
    <w:basedOn w:val="Normal"/>
    <w:next w:val="Normal"/>
    <w:unhideWhenUsed/>
    <w:qFormat/>
    <w:pPr>
      <w:keepNext w:val="true"/>
      <w:keepLines/>
      <w:spacing w:lineRule="auto" w:line="480"/>
      <w:outlineLvl w:val="8"/>
    </w:pPr>
    <w:rPr>
      <w:b/>
    </w:rPr>
  </w:style>
  <w:style w:type="character" w:styleId="MelocodeblockBasethemechar" w:customStyle="1">
    <w:name w:val="melo-codeblock-Base-theme-char"/>
    <w:uiPriority w:val="99"/>
    <w:qFormat/>
    <w:rPr>
      <w:rFonts w:ascii="Monaco" w:hAnsi="Monaco" w:eastAsia="Monaco" w:cs="Monaco"/>
      <w:color w:val="000000"/>
      <w:sz w:val="21"/>
    </w:rPr>
  </w:style>
  <w:style w:type="character" w:styleId="Internet">
    <w:name w:val="Internet 链接"/>
    <w:basedOn w:val="DefaultParagraphFont"/>
    <w:rPr>
      <w:color w:val="1E6FFF"/>
      <w:u w:val="single"/>
    </w:rPr>
  </w:style>
  <w:style w:type="character" w:styleId="DefaultParagraphFont" w:default="1">
    <w:name w:val="Default Paragraph Font"/>
    <w:uiPriority w:val="1"/>
    <w:semiHidden/>
    <w:unhideWhenUsed/>
    <w:qFormat/>
    <w:rPr/>
  </w:style>
  <w:style w:type="character" w:styleId="Style5" w:customStyle="1">
    <w:name w:val="副标题 字符"/>
    <w:basedOn w:val="DefaultParagraphFont"/>
    <w:qFormat/>
    <w:rPr>
      <w:rFonts w:ascii="Arial" w:hAnsi="Arial" w:eastAsia="微软雅黑" w:cs="notosansmonocjksc"/>
      <w:b/>
      <w:bCs/>
      <w:kern w:val="2"/>
      <w:sz w:val="44"/>
      <w:szCs w:val="32"/>
    </w:rPr>
  </w:style>
  <w:style w:type="character" w:styleId="Style6" w:customStyle="1">
    <w:name w:val="标题 字符"/>
    <w:basedOn w:val="DefaultParagraphFont"/>
    <w:qFormat/>
    <w:rPr>
      <w:rFonts w:ascii="Arial" w:hAnsi="Arial" w:eastAsia="微软雅黑" w:cs="notosansmonocjksc"/>
      <w:b/>
      <w:bCs/>
      <w:kern w:val="2"/>
      <w:sz w:val="48"/>
      <w:szCs w:val="32"/>
    </w:rPr>
  </w:style>
  <w:style w:type="paragraph" w:styleId="Style7">
    <w:name w:val="标题样式"/>
    <w:basedOn w:val="Normal"/>
    <w:next w:val="Style8"/>
    <w:qFormat/>
    <w:pPr>
      <w:keepNext w:val="true"/>
      <w:spacing w:before="240" w:after="120"/>
    </w:pPr>
    <w:rPr>
      <w:rFonts w:ascii="Noto Sans Mono CJK SC" w:hAnsi="Noto Sans Mono CJK SC" w:eastAsia="Noto Sans Mono CJK SC" w:cs="Noto Sans Mono CJK SC"/>
      <w:sz w:val="28"/>
      <w:szCs w:val="28"/>
    </w:rPr>
  </w:style>
  <w:style w:type="paragraph" w:styleId="Style8">
    <w:name w:val="Body Text"/>
    <w:basedOn w:val="Normal"/>
    <w:pPr>
      <w:spacing w:lineRule="auto" w:line="276" w:before="0" w:after="140"/>
    </w:pPr>
    <w:rPr/>
  </w:style>
  <w:style w:type="paragraph" w:styleId="Style9">
    <w:name w:val="List"/>
    <w:basedOn w:val="Style8"/>
    <w:pPr/>
    <w:rPr/>
  </w:style>
  <w:style w:type="paragraph" w:styleId="Style10">
    <w:name w:val="Caption"/>
    <w:basedOn w:val="Normal"/>
    <w:qFormat/>
    <w:pPr>
      <w:suppressLineNumbers/>
      <w:spacing w:before="120" w:after="120"/>
    </w:pPr>
    <w:rPr>
      <w:i/>
      <w:iCs/>
      <w:sz w:val="24"/>
      <w:szCs w:val="24"/>
    </w:rPr>
  </w:style>
  <w:style w:type="paragraph" w:styleId="Style11">
    <w:name w:val="索引"/>
    <w:basedOn w:val="Normal"/>
    <w:qFormat/>
    <w:pPr>
      <w:suppressLineNumbers/>
    </w:pPr>
    <w:rPr>
      <w:lang w:val="zxx" w:eastAsia="zxx" w:bidi="zxx"/>
    </w:rPr>
  </w:style>
  <w:style w:type="paragraph" w:styleId="Style12">
    <w:name w:val="Subtitle"/>
    <w:basedOn w:val="Normal"/>
    <w:next w:val="Normal"/>
    <w:link w:val="Style5"/>
    <w:qFormat/>
    <w:pPr>
      <w:jc w:val="center"/>
      <w:outlineLvl w:val="1"/>
    </w:pPr>
    <w:rPr>
      <w:rFonts w:cs="notosansmonocjksc"/>
      <w:b/>
      <w:bCs/>
      <w:kern w:val="2"/>
      <w:sz w:val="44"/>
      <w:szCs w:val="32"/>
    </w:rPr>
  </w:style>
  <w:style w:type="paragraph" w:styleId="Style13">
    <w:name w:val="页眉与页脚"/>
    <w:basedOn w:val="Normal"/>
    <w:qFormat/>
    <w:pPr/>
    <w:rPr/>
  </w:style>
  <w:style w:type="paragraph" w:styleId="Style14">
    <w:name w:val="Footer"/>
    <w:basedOn w:val="Normal"/>
    <w:pPr>
      <w:tabs>
        <w:tab w:val="clear" w:pos="420"/>
        <w:tab w:val="center" w:pos="4153" w:leader="none"/>
        <w:tab w:val="right" w:pos="8306" w:leader="none"/>
      </w:tabs>
      <w:snapToGrid w:val="false"/>
      <w:jc w:val="center"/>
    </w:pPr>
    <w:rPr>
      <w:sz w:val="18"/>
      <w:szCs w:val="18"/>
    </w:rPr>
  </w:style>
  <w:style w:type="paragraph" w:styleId="81">
    <w:name w:val="TOC 8"/>
    <w:basedOn w:val="Normal"/>
    <w:next w:val="Normal"/>
    <w:autoRedefine/>
    <w:uiPriority w:val="99"/>
    <w:pPr>
      <w:ind w:left="2940" w:hanging="0"/>
    </w:pPr>
    <w:rPr/>
  </w:style>
  <w:style w:type="paragraph" w:styleId="MelocodeblockBasethemepara" w:customStyle="1">
    <w:name w:val="melo-codeblock-Base-theme-para"/>
    <w:uiPriority w:val="99"/>
    <w:qFormat/>
    <w:pPr>
      <w:widowControl/>
      <w:bidi w:val="0"/>
      <w:snapToGrid w:val="false"/>
      <w:spacing w:lineRule="auto" w:line="360" w:before="0" w:after="0"/>
      <w:jc w:val="left"/>
    </w:pPr>
    <w:rPr>
      <w:rFonts w:ascii="Monaco" w:hAnsi="Monaco" w:eastAsia="Monaco" w:cs="Monaco"/>
      <w:color w:val="000000"/>
      <w:kern w:val="0"/>
      <w:sz w:val="21"/>
      <w:szCs w:val="20"/>
      <w:lang w:val="en-US" w:eastAsia="zh-CN" w:bidi="ar-SA"/>
    </w:rPr>
  </w:style>
  <w:style w:type="paragraph" w:styleId="Style15">
    <w:name w:val="Title"/>
    <w:basedOn w:val="Normal"/>
    <w:next w:val="Normal"/>
    <w:link w:val="Style6"/>
    <w:qFormat/>
    <w:pPr>
      <w:jc w:val="center"/>
      <w:outlineLvl w:val="0"/>
    </w:pPr>
    <w:rPr>
      <w:rFonts w:cs="notosansmonocjksc"/>
      <w:b/>
      <w:bCs/>
      <w:sz w:val="48"/>
      <w:szCs w:val="32"/>
    </w:rPr>
  </w:style>
  <w:style w:type="paragraph" w:styleId="Style16">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numbering" w:styleId="NoList" w:default="1">
    <w:name w:val="No List"/>
    <w:uiPriority w:val="99"/>
    <w:semiHidden/>
    <w:unhideWhenUsed/>
    <w:qFormat/>
  </w:style>
  <w:style w:type="table" w:styleId="z5tbi3">
    <w:name w:val="Doc Table Column 1st"/>
    <w:basedOn w:val="000015"/>
    <w:uiPriority w:val="50"/>
    <w:rsid w:val="00ea4d8c"/>
    <w:tblPr>
      <w:tblStyleRowBandSize w:val="1"/>
      <w:tblStyleColBandSize w:val="1"/>
    </w:tblPr>
    <w:tblStylePr w:type="firstCol">
      <w:tblPr/>
      <w:tcPr>
        <w:shd w:val="clear" w:color="auto" w:fill="F3F5F7"/>
      </w:tcPr>
    </w:tblStylePr>
    <w:tblStylePr w:type="firstRow">
      <w:tblPr/>
      <w:tcPr>
        <w:shd w:val="clear" w:color="auto" w:fill="F3F5F7"/>
      </w:tcPr>
    </w:tblStyle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table" w:default="1" w:styleId="00000c">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59x0mt" TargetMode="External"/><Relationship Id="rId3" Type="http://schemas.openxmlformats.org/officeDocument/2006/relationships/hyperlink" Target="uwfxg4" TargetMode="External"/><Relationship Id="rId4" Type="http://schemas.openxmlformats.org/officeDocument/2006/relationships/hyperlink" Target="5kchsz" TargetMode="External"/><Relationship Id="rId5" Type="http://schemas.openxmlformats.org/officeDocument/2006/relationships/hyperlink" Target="qb14fm" TargetMode="External"/><Relationship Id="rId6" Type="http://schemas.openxmlformats.org/officeDocument/2006/relationships/hyperlink" Target="c29uvm" TargetMode="External"/><Relationship Id="rId7" Type="http://schemas.openxmlformats.org/officeDocument/2006/relationships/hyperlink" Target="aixjyp" TargetMode="External"/><Relationship Id="rId8" Type="http://schemas.openxmlformats.org/officeDocument/2006/relationships/hyperlink" Target="c6r4cu" TargetMode="External"/><Relationship Id="rId9" Type="http://schemas.openxmlformats.org/officeDocument/2006/relationships/hyperlink" Target="bqpsvj" TargetMode="External"/><Relationship Id="rId10" Type="http://schemas.openxmlformats.org/officeDocument/2006/relationships/hyperlink" Target="7eq2fj" TargetMode="External"/><Relationship Id="rId11" Type="http://schemas.openxmlformats.org/officeDocument/2006/relationships/hyperlink" Target="gb2nci" TargetMode="External"/><Relationship Id="rId12" Type="http://schemas.openxmlformats.org/officeDocument/2006/relationships/hyperlink" Target="8uhmb3" TargetMode="External"/><Relationship Id="rId13" Type="http://schemas.openxmlformats.org/officeDocument/2006/relationships/hyperlink" Target="lwu4wu" TargetMode="External"/><Relationship Id="rId14" Type="http://schemas.openxmlformats.org/officeDocument/2006/relationships/hyperlink" Target="ikghwm" TargetMode="External"/><Relationship Id="rId15" Type="http://schemas.openxmlformats.org/officeDocument/2006/relationships/hyperlink" Target="j18gb7" TargetMode="External"/><Relationship Id="rId16" Type="http://schemas.openxmlformats.org/officeDocument/2006/relationships/hyperlink" Target="c53xws" TargetMode="External"/><Relationship Id="rId17" Type="http://schemas.openxmlformats.org/officeDocument/2006/relationships/hyperlink" Target="0zefpi" TargetMode="External"/><Relationship Id="rId18" Type="http://schemas.openxmlformats.org/officeDocument/2006/relationships/hyperlink" Target="92w77x" TargetMode="External"/><Relationship Id="rId19" Type="http://schemas.openxmlformats.org/officeDocument/2006/relationships/hyperlink" Target="tjrv7s" TargetMode="External"/><Relationship Id="rId20" Type="http://schemas.openxmlformats.org/officeDocument/2006/relationships/hyperlink" Target="844q7w" TargetMode="External"/><Relationship Id="rId21" Type="http://schemas.openxmlformats.org/officeDocument/2006/relationships/hyperlink" Target="k4wlhg" TargetMode="External"/><Relationship Id="rId22" Type="http://schemas.openxmlformats.org/officeDocument/2006/relationships/hyperlink" Target="4wgfcy" TargetMode="External"/><Relationship Id="rId23" Type="http://schemas.openxmlformats.org/officeDocument/2006/relationships/hyperlink" Target="nef1n1" TargetMode="External"/><Relationship Id="rId24" Type="http://schemas.openxmlformats.org/officeDocument/2006/relationships/hyperlink" Target="a9p1df" TargetMode="Externa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LibreOfficeDev/7.3.1.3.0$Android_AARCH64 LibreOffice_project/</Application>
  <AppVersion>15.0000</AppVersion>
  <Pages>23</Pages>
  <Words>17546</Words>
  <Characters>24658</Characters>
  <CharactersWithSpaces>25968</CharactersWithSpaces>
  <Paragraphs>321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2026-09-15T10:10:37Z</dcterms:created>
  <dc:creator/>
  <dc:description/>
  <dc:language>zh-CN</dc:language>
  <cp:lastModifiedBy/>
  <dcterms:modified xsi:type="dcterms:W3CDTF">2026-09-15T10:20:12Z</dcterms:modified>
  <cp:revision>1</cp:revision>
  <dc:subject/>
  <dc:title/>
</cp:coreProperties>
</file>