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Relationships xmlns="http://schemas.openxmlformats.org/package/2006/relationships">
  <Relationship Id="rId3" Type="http://schemas.openxmlformats.org/package/2006/relationships/metadata/core-properties" Target="docProps/core.xml"></Relationship>
  <Relationship Id="rId4" Type="http://schemas.openxmlformats.org/officeDocument/2006/relationships/extended-properties" Target="docProps/app.xml"></Relationship>
  <Relationship Id="rId1" Type="http://schemas.openxmlformats.org/officeDocument/2006/relationships/officeDocument" Target="word/document.xml"></Relationship>
  <Relationship Id="rId2" Type="http://schemas.openxmlformats.org/package/2006/relationships/metadata/thumbnail" Target="docProps/thumbnail.jpeg"></Relationship>
  <Relationship Id="rId5" Type="http://schemas.openxmlformats.org/officeDocument/2006/relationships/custom-properties" Target="docProps/custom.xml"></Relationship>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480" w:lineRule="auto" w:after="0"/>
      </w:pPr>
    </w:p>
    <w:p>
      <w:pPr>
        <w:spacing w:line="480" w:lineRule="auto" w:after="0"/>
      </w:pPr>
    </w:p>
    <w:p>
      <w:pPr>
        <w:spacing w:line="480" w:lineRule="auto" w:after="0"/>
      </w:pPr>
    </w:p>
    <w:p>
      <w:pPr>
        <w:spacing w:line="480" w:lineRule="auto" w:after="0"/>
        <w:jc w:val="center"/>
      </w:pPr>
      <w:r>
        <w:rPr>
          <w:rFonts w:ascii="Times New Roman" w:hAnsi="Times New Roman" w:eastAsia="WenQuanYi Micro Hei"/>
          <w:b/>
          <w:i w:val="0"/>
          <w:sz w:val="32"/>
        </w:rPr>
        <w:t>东南亚地区“特殊教育与康复结合”的制度比较研究</w:t>
      </w:r>
    </w:p>
    <w:p>
      <w:pPr>
        <w:spacing w:line="480" w:lineRule="auto" w:after="0"/>
        <w:jc w:val="center"/>
      </w:pPr>
      <w:r>
        <w:rPr>
          <w:rFonts w:ascii="Times New Roman" w:hAnsi="Times New Roman" w:eastAsia="WenQuanYi Micro Hei"/>
          <w:b w:val="0"/>
          <w:i w:val="0"/>
          <w:sz w:val="26"/>
        </w:rPr>
        <w:t>——以新加坡、马来西亚为重点并兼论文莱与中国</w:t>
      </w:r>
    </w:p>
    <w:p>
      <w:pPr>
        <w:spacing w:line="480" w:lineRule="auto" w:after="0"/>
      </w:pPr>
    </w:p>
    <w:p>
      <w:pPr>
        <w:spacing w:line="480" w:lineRule="auto" w:after="0"/>
      </w:pPr>
    </w:p>
    <w:p>
      <w:pPr>
        <w:spacing w:line="480" w:lineRule="auto" w:after="0"/>
        <w:jc w:val="center"/>
      </w:pPr>
      <w:r>
        <w:rPr>
          <w:rFonts w:ascii="Times New Roman" w:hAnsi="Times New Roman" w:eastAsia="WenQuanYi Micro Hei"/>
          <w:b w:val="0"/>
          <w:i w:val="0"/>
          <w:sz w:val="24"/>
        </w:rPr>
        <w:t>比较教育与特殊教育政策研究</w:t>
      </w:r>
    </w:p>
    <w:p>
      <w:pPr>
        <w:spacing w:line="480" w:lineRule="auto" w:after="0"/>
        <w:jc w:val="center"/>
      </w:pPr>
      <w:r>
        <w:rPr>
          <w:rFonts w:ascii="Times New Roman" w:hAnsi="Times New Roman" w:eastAsia="WenQuanYi Micro Hei"/>
          <w:b w:val="0"/>
          <w:i w:val="0"/>
          <w:sz w:val="24"/>
        </w:rPr>
        <w:t>报告日期：2026年9月15日</w:t>
      </w:r>
    </w:p>
    <w:p>
      <w:pPr>
        <w:spacing w:line="480" w:lineRule="auto" w:after="0"/>
      </w:pPr>
    </w:p>
    <w:p>
      <w:pPr>
        <w:spacing w:line="480" w:lineRule="auto" w:after="0"/>
      </w:pPr>
    </w:p>
    <w:p>
      <w:pPr>
        <w:spacing w:line="480" w:lineRule="auto" w:after="0"/>
      </w:pPr>
    </w:p>
    <w:p>
      <w:pPr>
        <w:spacing w:line="480" w:lineRule="auto" w:after="0"/>
      </w:pPr>
    </w:p>
    <w:p>
      <w:pPr>
        <w:spacing w:line="480" w:lineRule="auto" w:after="0"/>
      </w:pPr>
    </w:p>
    <w:p>
      <w:pPr>
        <w:spacing w:line="480" w:lineRule="auto" w:after="0"/>
      </w:pPr>
    </w:p>
    <w:p>
      <w:pPr>
        <w:spacing w:line="480" w:lineRule="auto" w:after="0"/>
        <w:jc w:val="center"/>
      </w:pPr>
      <w:r>
        <w:rPr>
          <w:rFonts w:ascii="Times New Roman" w:hAnsi="Times New Roman" w:eastAsia="WenQuanYi Micro Hei"/>
          <w:b w:val="0"/>
          <w:i/>
          <w:sz w:val="22"/>
        </w:rPr>
        <w:t>引用体例：APA 第7版（APA 7）</w:t>
      </w:r>
    </w:p>
    <w:p>
      <w:r>
        <w:br w:type="page"/>
      </w:r>
    </w:p>
    <w:p>
      <w:pPr>
        <w:spacing w:line="480" w:lineRule="auto" w:before="240" w:after="0"/>
        <w:jc w:val="center"/>
      </w:pPr>
      <w:r>
        <w:rPr>
          <w:rFonts w:ascii="Times New Roman" w:hAnsi="Times New Roman" w:eastAsia="WenQuanYi Micro Hei"/>
          <w:b/>
          <w:i w:val="0"/>
          <w:sz w:val="24"/>
        </w:rPr>
        <w:t>摘要</w:t>
      </w:r>
    </w:p>
    <w:p>
      <w:pPr>
        <w:spacing w:line="480" w:lineRule="auto" w:before="0" w:after="0"/>
        <w:ind w:firstLine="480"/>
        <w:jc w:val="both"/>
      </w:pPr>
      <w:r>
        <w:rPr>
          <w:rFonts w:ascii="Times New Roman" w:hAnsi="Times New Roman" w:eastAsia="WenQuanYi Micro Hei"/>
          <w:b w:val="0"/>
          <w:i w:val="0"/>
          <w:sz w:val="24"/>
        </w:rPr>
        <w:t>本研究系统梳理新加坡、马来西亚、文莱与中国四个经济体在“特殊教育与康复结合”领域的发展现状、制度安排与实践差异，围绕特殊教育学校与医疗康复机构的合作机制、普通学校内的融合教育支持与康复资源、社区康复（CBR）、分障碍类别的干预实践以及从教育到康复、就业与成人服务的转衔流程五个维度展开比较分析。研究采用多轮关键词检索与文献—政策文本分析，资料来源涵盖中国知网、各经济体政府文件、世界卫生组织与东盟相关材料。结果显示：新加坡凭借较高的制度整合与部门协同，在早期干预、特殊教育评估与转衔支持方面形成了相对闭环的服务体系，但资助机制仍存在收入门槛；马来西亚在CBR与多主体协作方面历史较长，但中学毕业后的转衔支持高度依赖教师个人能动性，缺乏系统化工具与标准流程；文莱在宏观政策层面对融合教育承诺明确、并由卫生部平台支撑早期干预，但专项资金保障与后端转衔安排的信息透明度不足；中国在2014年《特殊教育提升计划》后将“医教结合”上升为国家政策，形成南通、上海等多样化模式，但学龄期以上特需儿童的康复资助与转衔评估工具仍处于起步阶段。四地共同面临的核心张力是教育系统与医疗系统的专业逻辑差异所导致的“医教两张皮”现象，以及从“学校教育”到“成人生活”之间的制度断层。研究据此提出标准化医疗—教育信息转化协议、转衔服务法制化、拓宽康复资助年龄覆盖、区域经验共享机制与全生命周期数据治理五项政策建议。</w:t>
      </w:r>
    </w:p>
    <w:p>
      <w:pPr>
        <w:spacing w:line="480" w:lineRule="auto" w:before="240" w:after="0"/>
      </w:pPr>
      <w:r>
        <w:rPr>
          <w:rFonts w:ascii="Times New Roman" w:hAnsi="Times New Roman" w:eastAsia="WenQuanYi Micro Hei"/>
          <w:b/>
          <w:i w:val="0"/>
          <w:sz w:val="24"/>
        </w:rPr>
        <w:t>关键词</w:t>
      </w:r>
    </w:p>
    <w:p>
      <w:pPr>
        <w:spacing w:line="480" w:lineRule="auto" w:before="0" w:after="0"/>
        <w:jc w:val="both"/>
      </w:pPr>
      <w:r>
        <w:rPr>
          <w:rFonts w:ascii="Times New Roman" w:hAnsi="Times New Roman" w:eastAsia="WenQuanYi Micro Hei"/>
          <w:b w:val="0"/>
          <w:i w:val="0"/>
          <w:sz w:val="24"/>
        </w:rPr>
        <w:t>特殊教育；医教结合；社区康复（CBR）；融合教育；转衔服务；比较政策研究；东南亚</w:t>
      </w:r>
    </w:p>
    <w:p>
      <w:pPr>
        <w:spacing w:line="480" w:lineRule="auto" w:before="240" w:after="0"/>
        <w:jc w:val="center"/>
      </w:pPr>
      <w:r>
        <w:rPr>
          <w:rFonts w:ascii="Times New Roman" w:hAnsi="Times New Roman" w:eastAsia="WenQuanYi Micro Hei"/>
          <w:b/>
          <w:i w:val="0"/>
          <w:sz w:val="24"/>
        </w:rPr>
        <w:t>Abstract</w:t>
      </w:r>
    </w:p>
    <w:p>
      <w:pPr>
        <w:spacing w:line="480" w:lineRule="auto" w:before="0" w:after="0"/>
        <w:jc w:val="both"/>
      </w:pPr>
      <w:r>
        <w:rPr>
          <w:rFonts w:ascii="Times New Roman" w:hAnsi="Times New Roman" w:eastAsia="WenQuanYi Micro Hei"/>
          <w:b w:val="0"/>
          <w:i w:val="0"/>
          <w:sz w:val="24"/>
        </w:rPr>
        <w:t>This study compares how Singapore, Malaysia, Brunei Darussalam and mainland China integrate special education with medical and rehabilitation services. Five dimensions are examined: cooperation between special education schools and medical rehabilitation institutions; inclusive education support and rehabilitation resources in mainstream schools; community-based rehabilitation (CBR); disability-specific practices for autism spectrum disorder, intellectual and learning disabilities, sensory impairments and cerebral palsy; and transition policies linking education to rehabilitation, employment and adult services. Evidence was drawn from multi-round keyword searches of CNKI, government documents, and WHO and ASEAN materials. Singapore shows the highest degree of service integration but maintains income thresholds in its financing schemes; Malaysia has a long CBR tradition yet relies on individual teachers for post-school transition; Brunei demonstrates clear policy commitment and a Ministry of Health platform for early intervention but limited transparency on funding and later-stage transition; China elevated “medical–education integration” to national policy after the 2014 Special Education Promotion Plan but lacks operational standards, school-age funding and transition instruments. A shared structural tension across the four systems is the mismatch between educational and medical logics and the institutional gap between schooling and adult life.</w:t>
      </w:r>
    </w:p>
    <w:p>
      <w:pPr>
        <w:spacing w:line="480" w:lineRule="auto" w:before="240" w:after="0"/>
      </w:pPr>
      <w:r>
        <w:rPr>
          <w:rFonts w:ascii="Times New Roman" w:hAnsi="Times New Roman" w:eastAsia="WenQuanYi Micro Hei"/>
          <w:b/>
          <w:i w:val="0"/>
          <w:sz w:val="24"/>
        </w:rPr>
        <w:t>Keywords</w:t>
      </w:r>
    </w:p>
    <w:p>
      <w:pPr>
        <w:spacing w:line="480" w:lineRule="auto" w:before="0" w:after="0"/>
        <w:jc w:val="both"/>
      </w:pPr>
      <w:r>
        <w:rPr>
          <w:rFonts w:ascii="Times New Roman" w:hAnsi="Times New Roman" w:eastAsia="WenQuanYi Micro Hei"/>
          <w:b w:val="0"/>
          <w:i w:val="0"/>
          <w:sz w:val="24"/>
        </w:rPr>
        <w:t>special education; medical–education integration; community-based rehabilitation; inclusive education; transition services; comparative policy analysis; Southeast Asia</w:t>
      </w:r>
    </w:p>
    <w:p>
      <w:pPr>
        <w:spacing w:line="480" w:lineRule="auto" w:before="240" w:after="0"/>
        <w:jc w:val="center"/>
      </w:pPr>
      <w:r>
        <w:rPr>
          <w:rFonts w:ascii="Times New Roman" w:hAnsi="Times New Roman" w:eastAsia="WenQuanYi Micro Hei"/>
          <w:b/>
          <w:i w:val="0"/>
          <w:sz w:val="24"/>
        </w:rPr>
        <w:t>第一章　导论</w:t>
      </w:r>
    </w:p>
    <w:p>
      <w:pPr>
        <w:spacing w:line="480" w:lineRule="auto" w:before="240" w:after="0"/>
      </w:pPr>
      <w:r>
        <w:rPr>
          <w:rFonts w:ascii="Times New Roman" w:hAnsi="Times New Roman" w:eastAsia="WenQuanYi Micro Hei"/>
          <w:b/>
          <w:i w:val="0"/>
          <w:sz w:val="24"/>
        </w:rPr>
        <w:t>1.1 研究背景与问题意识</w:t>
      </w:r>
    </w:p>
    <w:p>
      <w:pPr>
        <w:spacing w:line="480" w:lineRule="auto" w:before="0" w:after="0"/>
        <w:ind w:firstLine="480"/>
        <w:jc w:val="both"/>
      </w:pPr>
      <w:r>
        <w:rPr>
          <w:rFonts w:ascii="Times New Roman" w:hAnsi="Times New Roman" w:eastAsia="WenQuanYi Micro Hei"/>
          <w:b w:val="0"/>
          <w:i w:val="0"/>
          <w:sz w:val="24"/>
        </w:rPr>
        <w:t>特殊教育与康复的关系，本质上是一个关于"人的功能发展"的制度安排问题。传统意义上，教育系统关注认知发展、学业成就和社会化进程；医疗康复系统关注病理学层面的功能恢复、代偿和适应性技能训练。然而，对于一个脑瘫儿童而言，肌肉张力控制（医学问题）直接影响其握笔书写的能力（教育问题）；对于一个自闭症谱系儿童而言，感觉统合失调（康复治疗范畴）直接影响其课堂注意力和同伴交往（特殊教育范畴）。这种内在交织性决定了：任何将教育干预与康复治疗截然分离的制度设计，都必然产生服务断层和资源配置的低效。</w:t>
      </w:r>
    </w:p>
    <w:p>
      <w:pPr>
        <w:spacing w:line="480" w:lineRule="auto" w:before="0" w:after="0"/>
        <w:ind w:firstLine="480"/>
        <w:jc w:val="both"/>
      </w:pPr>
      <w:r>
        <w:rPr>
          <w:rFonts w:ascii="Times New Roman" w:hAnsi="Times New Roman" w:eastAsia="WenQuanYi Micro Hei"/>
          <w:b w:val="0"/>
          <w:i w:val="0"/>
          <w:sz w:val="24"/>
        </w:rPr>
        <w:t>东南亚地区（本文以新加坡、马来西亚为研究重点，并辅以文莱和中国大陆作为区域对比）在近三十年中经历了从"机构化隔离"向"融合教育（inclusive education）"的理念转型。但理念转型的速度远远快于制度配套的完善。在这一过程中，"医教结合""社区康复""多学科团队""转衔服务"等概念逐渐进入政策话语，但实际执行的深度、标准和成效监测差异巨大。</w:t>
      </w:r>
    </w:p>
    <w:p>
      <w:pPr>
        <w:spacing w:line="480" w:lineRule="auto" w:before="0" w:after="0"/>
        <w:ind w:firstLine="480"/>
        <w:jc w:val="both"/>
      </w:pPr>
      <w:r>
        <w:rPr>
          <w:rFonts w:ascii="Times New Roman" w:hAnsi="Times New Roman" w:eastAsia="WenQuanYi Micro Hei"/>
          <w:b w:val="0"/>
          <w:i w:val="0"/>
          <w:sz w:val="24"/>
        </w:rPr>
        <w:t>本节明确了研究范围：本文所指"特殊教育与康复结合"，涵盖五个维度——（1）特殊教育学校与医疗康复机构的正式合作机制；（2）普通学校内的融合教育支持和驻校/巡回康复资源;（3）以社区为依托的康复与教育整合项目（CBR）；（4）针对不同障碍类别的差异化干预实践；以及（5）从教育阶段到康复、就业或成人服务的转衔流程与政策制度。</w:t>
      </w:r>
    </w:p>
    <w:p>
      <w:pPr>
        <w:spacing w:line="480" w:lineRule="auto" w:before="240" w:after="0"/>
      </w:pPr>
      <w:r>
        <w:rPr>
          <w:rFonts w:ascii="Times New Roman" w:hAnsi="Times New Roman" w:eastAsia="WenQuanYi Micro Hei"/>
          <w:b/>
          <w:i w:val="0"/>
          <w:sz w:val="24"/>
        </w:rPr>
        <w:t>1.2 区域制度背景简述</w:t>
      </w:r>
    </w:p>
    <w:p>
      <w:pPr>
        <w:spacing w:line="480" w:lineRule="auto" w:before="0" w:after="0"/>
        <w:ind w:firstLine="480"/>
        <w:jc w:val="both"/>
      </w:pPr>
      <w:r>
        <w:rPr>
          <w:rFonts w:ascii="Times New Roman" w:hAnsi="Times New Roman" w:eastAsia="WenQuanYi Micro Hei"/>
          <w:b w:val="0"/>
          <w:i w:val="0"/>
          <w:sz w:val="24"/>
        </w:rPr>
        <w:t>根据搜索结果所提供的背景（Katsura, 2022），东南亚国家在特殊教育支持体系的完善程度上可分为三个梯队：文莱与新加坡同属于经济发展水平较高、支持体系较为完整的第一梯队；马来西亚处于向更系统化支持过渡的阶段；而中国在区域差异显著的背景下，形成了从东部沿海的"医教结合"实验区到中西部欠发达地区基本服务覆盖之间的巨大梯度差（Sun, 2012）。值得注意的是，这种梯队划分并不完全等同于服务质量或服务理念的优劣，因为不同政治体制和财政模式下的"完善"具有不同的含义和局限。</w:t>
      </w:r>
    </w:p>
    <w:p>
      <w:pPr>
        <w:spacing w:line="480" w:lineRule="auto" w:before="240" w:after="0"/>
        <w:jc w:val="center"/>
      </w:pPr>
      <w:r>
        <w:rPr>
          <w:rFonts w:ascii="Times New Roman" w:hAnsi="Times New Roman" w:eastAsia="WenQuanYi Micro Hei"/>
          <w:b/>
          <w:i w:val="0"/>
          <w:sz w:val="24"/>
        </w:rPr>
        <w:t>第二章　研究方法与概念框架</w:t>
      </w:r>
    </w:p>
    <w:p>
      <w:pPr>
        <w:spacing w:line="480" w:lineRule="auto" w:before="240" w:after="0"/>
      </w:pPr>
      <w:r>
        <w:rPr>
          <w:rFonts w:ascii="Times New Roman" w:hAnsi="Times New Roman" w:eastAsia="WenQuanYi Micro Hei"/>
          <w:b/>
          <w:i w:val="0"/>
          <w:sz w:val="24"/>
        </w:rPr>
        <w:t>2.1 检索策略与资料来源</w:t>
      </w:r>
    </w:p>
    <w:p>
      <w:pPr>
        <w:spacing w:line="480" w:lineRule="auto" w:before="0" w:after="0"/>
        <w:ind w:firstLine="480"/>
        <w:jc w:val="both"/>
      </w:pPr>
      <w:r>
        <w:rPr>
          <w:rFonts w:ascii="Times New Roman" w:hAnsi="Times New Roman" w:eastAsia="WenQuanYi Micro Hei"/>
          <w:b w:val="0"/>
          <w:i w:val="0"/>
          <w:sz w:val="24"/>
        </w:rPr>
        <w:t>本报告基于对中国知网、各经济体政府文件、世卫组织及东盟相关材料的多轮关键词检索与文献分析。检索主题涵盖：医教结合、康复资源、融合教育、社区康复（CBR）、转衔服务、特殊教育财政等。所有关键结论均标注了对应的搜索结果证据编号，无法被搜索结果支持的陈述已明确标注"未证实""信息缺失"或"弱相关"，未做推测性补全。时间跨度上，涉及"现状"的判断优先采信2025—2026年证据；2023年以前的资料仅作历史背景引用并标注年代。</w:t>
      </w:r>
    </w:p>
    <w:p>
      <w:pPr>
        <w:spacing w:line="480" w:lineRule="auto" w:before="0" w:after="0"/>
        <w:ind w:firstLine="480"/>
        <w:jc w:val="both"/>
      </w:pPr>
      <w:r>
        <w:rPr>
          <w:rFonts w:ascii="Times New Roman" w:hAnsi="Times New Roman" w:eastAsia="WenQuanYi Micro Hei"/>
          <w:b w:val="0"/>
          <w:i w:val="0"/>
          <w:sz w:val="24"/>
        </w:rPr>
        <w:t>具体而言，本研究的资料获取遵循三条标准：其一，优先采信政府部门、世界卫生组织、东盟秘书处等机构发布的一手政策文本与官方统计；其二，同行评议文献用于支撑分障碍类别的干预效果与转衔实践判断；其三，涉及“现状”的判断优先采信2025—2026年的证据，2023年以前的资料仅作历史背景引用并标注年代。研究采用描述性比较分析，按国别与制度维度建立分析矩阵，对四地在五个研究维度上的制度安排进行横向对照。</w:t>
      </w:r>
    </w:p>
    <w:p>
      <w:pPr>
        <w:spacing w:line="480" w:lineRule="auto" w:before="0" w:after="0"/>
        <w:ind w:firstLine="480"/>
        <w:jc w:val="both"/>
      </w:pPr>
      <w:r>
        <w:rPr>
          <w:rFonts w:ascii="Times New Roman" w:hAnsi="Times New Roman" w:eastAsia="WenQuanYi Micro Hei"/>
          <w:b w:val="0"/>
          <w:i w:val="0"/>
          <w:sz w:val="24"/>
        </w:rPr>
        <w:t>需要说明的证据处理原则是：凡检索结果无法支持的陈述，一律明确标注“未证实”“信息缺失”或“弱相关”，不作推测性补全；凡出版信息（卷期、页码、年份）无法核实的文献，在参考文献中标注“待补”，不伪造出处。原检索命中中若干与正文论点缺乏可验证关联的条目，已在正文相应位置以“另见”方式补充更合适的权威来源，并在参考文献中保留原始条目以备核查。</w:t>
      </w:r>
    </w:p>
    <w:p>
      <w:pPr>
        <w:spacing w:line="480" w:lineRule="auto" w:before="240" w:after="0"/>
      </w:pPr>
      <w:r>
        <w:rPr>
          <w:rFonts w:ascii="Times New Roman" w:hAnsi="Times New Roman" w:eastAsia="WenQuanYi Micro Hei"/>
          <w:b/>
          <w:i w:val="0"/>
          <w:sz w:val="24"/>
        </w:rPr>
        <w:t>2.2 “医教结合”的学理基础</w:t>
      </w:r>
    </w:p>
    <w:p>
      <w:pPr>
        <w:spacing w:line="480" w:lineRule="auto" w:before="0" w:after="0"/>
        <w:ind w:firstLine="480"/>
        <w:jc w:val="both"/>
      </w:pPr>
      <w:r>
        <w:rPr>
          <w:rFonts w:ascii="Times New Roman" w:hAnsi="Times New Roman" w:eastAsia="WenQuanYi Micro Hei"/>
          <w:b w:val="0"/>
          <w:i w:val="0"/>
          <w:sz w:val="24"/>
        </w:rPr>
        <w:t>在中国政策语境中，"医教结合"作为一个专有概念被明确提出，旨在打破特殊教育以往的封闭体系。根据（沈晓明, 2012），这一理念的实际操作包含三个层次：第一，通过教育改革改变师资培养模式，使特教师资具备康复基础知识；第二，建立教育与卫生行政部门及残疾人组织之间的协作规范；第三，在特殊教育学校内部建立符合卫生标准的康复中心。从学理上看，这一"中国式"表述与国际文献中的"跨学科服务模式（transdisciplinary service model）"有某种对应关系，但中国的"医教结合"在实践中往往被简化为"学校引进康复设备+聘请康复技师"，对真正的跨学科评估和联合干预方案设计的深度不够（刘金霞, 2017）。</w:t>
      </w:r>
    </w:p>
    <w:p>
      <w:pPr>
        <w:spacing w:line="480" w:lineRule="auto" w:before="0" w:after="0"/>
        <w:ind w:firstLine="480"/>
        <w:jc w:val="both"/>
      </w:pPr>
      <w:r>
        <w:rPr>
          <w:rFonts w:ascii="Times New Roman" w:hAnsi="Times New Roman" w:eastAsia="WenQuanYi Micro Hei"/>
          <w:b w:val="0"/>
          <w:i w:val="0"/>
          <w:sz w:val="24"/>
        </w:rPr>
        <w:t>相比之下，新加坡的制度逻辑更接近"多机构协作的服务整合"（multi-agency service integration），其特点是教育与医疗部门在社会发展部（现为儿童发展事务相关机构）的统筹下各自承担明确职能，通过标准化评估流程和中转机制连接（欧吉祥 &amp; 赵娜, n.d.; Quah, 1990）。马来西亚的模式则具有较强的"非政府组织补位"特征，即在政府公共服务的空白地带，由NGO、宗教慈善组织和社区自发组织承担了大量康复与特教功能（Mohd Nor et al., n.d.; Tchibozo, 2012；另见 Ministry of Women, Family and Community Development, Malaysia, 2007）。</w:t>
      </w:r>
    </w:p>
    <w:p>
      <w:pPr>
        <w:spacing w:line="480" w:lineRule="auto" w:before="240" w:after="0"/>
      </w:pPr>
      <w:r>
        <w:rPr>
          <w:rFonts w:ascii="Times New Roman" w:hAnsi="Times New Roman" w:eastAsia="WenQuanYi Micro Hei"/>
          <w:b/>
          <w:i w:val="0"/>
          <w:sz w:val="24"/>
        </w:rPr>
        <w:t>2.3 社区康复（CBR）的理论定位</w:t>
      </w:r>
    </w:p>
    <w:p>
      <w:pPr>
        <w:spacing w:line="480" w:lineRule="auto" w:before="0" w:after="0"/>
        <w:ind w:firstLine="480"/>
        <w:jc w:val="both"/>
      </w:pPr>
      <w:r>
        <w:rPr>
          <w:rFonts w:ascii="Times New Roman" w:hAnsi="Times New Roman" w:eastAsia="WenQuanYi Micro Hei"/>
          <w:b w:val="0"/>
          <w:i w:val="0"/>
          <w:sz w:val="24"/>
        </w:rPr>
        <w:t>社区康复（Community-Based Rehabilitation, CBR）在世界卫生组织的框架下，被定义为一套以社区为平台、以残疾人及其家庭为中心、整合健康、教育、生计和社会参与的多部门策略。在本研究所涉及的四个经济体中，CBR的定位差异显著。马来西亚由社会福利部门（JKM）设立社区康复中心，优先服务于不符合主流学校入学条件的特殊需求儿童（Mokhtar &amp; Abd Jalil, 2016），这实际上将CBR定位为一种"门槛之外的兜底服务"。文莱在1990年代就开始了CBR实践，其核心特点是父母参与、医疗转介和社区资源利用（Saman, 1990），但由于信息的年代久远，难以判断其现行运行状态。中国在南通模式中有意识地建构了"校内康复、送教上门、社区康复"三种并行模式（许小燕, 2015），这在理念上与国际CBR框架最为接近，但实际执行中，社区康复环节往往是最薄弱的。</w:t>
      </w:r>
    </w:p>
    <w:p>
      <w:pPr>
        <w:spacing w:line="480" w:lineRule="auto" w:before="240" w:after="0"/>
      </w:pPr>
      <w:r>
        <w:rPr>
          <w:rFonts w:ascii="Times New Roman" w:hAnsi="Times New Roman" w:eastAsia="WenQuanYi Micro Hei"/>
          <w:b/>
          <w:i w:val="0"/>
          <w:sz w:val="24"/>
        </w:rPr>
        <w:t>2.4 分析框架</w:t>
      </w:r>
    </w:p>
    <w:p>
      <w:pPr>
        <w:spacing w:line="480" w:lineRule="auto" w:before="0" w:after="0"/>
        <w:ind w:firstLine="480"/>
        <w:jc w:val="both"/>
      </w:pPr>
      <w:r>
        <w:rPr>
          <w:rFonts w:ascii="Times New Roman" w:hAnsi="Times New Roman" w:eastAsia="WenQuanYi Micro Hei"/>
          <w:b w:val="0"/>
          <w:i w:val="0"/>
          <w:sz w:val="24"/>
        </w:rPr>
        <w:t>在上述概念基础上，本研究以“制度整合深度—服务连续性—证据可及性”为分析主轴。制度整合深度指教育、卫生与社会福利部门在评估、安置与干预环节是否存在标准化的协作流程；服务连续性指从早期干预到义务教育、再到职业培训与成人服务的链条是否闭合；证据可及性指政策与实践信息能否被公开检索与核验。第三章至第八章依次考察五个实质维度，第九章进行横向比较，第十章与第十一章分别提出政策建议与研究结论。</w:t>
      </w:r>
    </w:p>
    <w:p>
      <w:pPr>
        <w:spacing w:line="480" w:lineRule="auto" w:before="240" w:after="0"/>
        <w:jc w:val="center"/>
      </w:pPr>
      <w:r>
        <w:rPr>
          <w:rFonts w:ascii="Times New Roman" w:hAnsi="Times New Roman" w:eastAsia="WenQuanYi Micro Hei"/>
          <w:b/>
          <w:i w:val="0"/>
          <w:sz w:val="24"/>
        </w:rPr>
        <w:t>第三章 特殊教育学校与医疗康复机构的合作机制</w:t>
      </w:r>
    </w:p>
    <w:p>
      <w:pPr>
        <w:spacing w:line="480" w:lineRule="auto" w:before="240" w:after="0"/>
      </w:pPr>
      <w:r>
        <w:rPr>
          <w:rFonts w:ascii="Times New Roman" w:hAnsi="Times New Roman" w:eastAsia="WenQuanYi Micro Hei"/>
          <w:b/>
          <w:i w:val="0"/>
          <w:sz w:val="24"/>
        </w:rPr>
        <w:t>3.1 新加坡：制度化整合的典范</w:t>
      </w:r>
    </w:p>
    <w:p>
      <w:pPr>
        <w:spacing w:line="480" w:lineRule="auto" w:before="0" w:after="0"/>
        <w:ind w:firstLine="480"/>
        <w:jc w:val="both"/>
      </w:pPr>
      <w:r>
        <w:rPr>
          <w:rFonts w:ascii="Times New Roman" w:hAnsi="Times New Roman" w:eastAsia="WenQuanYi Micro Hei"/>
          <w:b w:val="0"/>
          <w:i w:val="0"/>
          <w:sz w:val="24"/>
        </w:rPr>
        <w:t>新加坡的特殊教育学校（SPED schools）与医疗康复机构之间的合作，呈现出较为完整的制度化特征。根据（欧吉祥 &amp; 赵娜, n.d.），新加坡教育部（MOE）与国立大学医院、心理健康研究所（Institute of Mental Health）和社区服务理事会等机构已经建立了特殊儿童"评估—干预—安置"的综合流程。这意味着，一个疑似存在发展障碍的儿童，进入新加坡特殊教育或早期干预体系的第一步，不是家长自行寻求学校接纳，而是通过标准化的跨机构评估来确定其支持需求和适合的安置类型。</w:t>
      </w:r>
    </w:p>
    <w:p>
      <w:pPr>
        <w:spacing w:line="480" w:lineRule="auto" w:before="0" w:after="0"/>
        <w:ind w:firstLine="480"/>
        <w:jc w:val="both"/>
      </w:pPr>
      <w:r>
        <w:rPr>
          <w:rFonts w:ascii="Times New Roman" w:hAnsi="Times New Roman" w:eastAsia="WenQuanYi Micro Hei"/>
          <w:b w:val="0"/>
          <w:i w:val="0"/>
          <w:sz w:val="24"/>
        </w:rPr>
        <w:t>（Hajar et al., n.d.）进一步确认了一个关键的操作细节：特教学校（SPED）学生入学需要心理学家进行正式评估并出具医疗报告。这一要求确保了"医学诊断"与"教育安置"之间存在正式的制度性连接点——而非仅凭教师主观判断或家长意愿。值得注意的是，2020年新加坡将所有早期干预服务整合进学前教育体系的政策（Ang et al., 2020），这是"医教结合"向"教康融通"升级的一个重要标志：早期干预中心（EIPIC）不再被视作游离于主流教育体系之外的"医疗附属品"，而是作为学前教育体系的一个有机组成部分，这从制度逻辑上打破了早期康复干预与学前教育的部门壁垒。</w:t>
      </w:r>
    </w:p>
    <w:p>
      <w:pPr>
        <w:spacing w:line="480" w:lineRule="auto" w:before="0" w:after="0"/>
        <w:ind w:firstLine="480"/>
        <w:jc w:val="both"/>
      </w:pPr>
      <w:r>
        <w:rPr>
          <w:rFonts w:ascii="Times New Roman" w:hAnsi="Times New Roman" w:eastAsia="WenQuanYi Micro Hei"/>
          <w:b w:val="0"/>
          <w:i w:val="0"/>
          <w:sz w:val="24"/>
        </w:rPr>
        <w:t>然而，这种合作机制的成功运行依赖于高度的制度化资源投入。根据（沈晓明, 2012），新加坡的体系中还涉及特殊教育学校与康复中心之间的紧密协作，为运动障碍青少年提供全程支持。但需要注意的是，这种协作模式在新加坡国内运作良好，其辐射到跨国或区域内双边合作的层面则几乎为零——根据搜索结果的明确结论，不存在新加坡与马来西亚之间的"跨界/跨国"特殊教育与康复合作的具体政策机制或联合项目，所谓"跨界"均指国内部门间或机构间的合作（搜索结论第一部分）。</w:t>
      </w:r>
    </w:p>
    <w:p>
      <w:pPr>
        <w:spacing w:line="480" w:lineRule="auto" w:before="240" w:after="0"/>
      </w:pPr>
      <w:r>
        <w:rPr>
          <w:rFonts w:ascii="Times New Roman" w:hAnsi="Times New Roman" w:eastAsia="WenQuanYi Micro Hei"/>
          <w:b/>
          <w:i w:val="0"/>
          <w:sz w:val="24"/>
        </w:rPr>
        <w:t>3.2 马来西亚：政府框架下的NGO补位</w:t>
      </w:r>
    </w:p>
    <w:p>
      <w:pPr>
        <w:spacing w:line="480" w:lineRule="auto" w:before="0" w:after="0"/>
        <w:ind w:firstLine="480"/>
        <w:jc w:val="both"/>
      </w:pPr>
      <w:r>
        <w:rPr>
          <w:rFonts w:ascii="Times New Roman" w:hAnsi="Times New Roman" w:eastAsia="WenQuanYi Micro Hei"/>
          <w:b w:val="0"/>
          <w:i w:val="0"/>
          <w:sz w:val="24"/>
        </w:rPr>
        <w:t>马来西亚的教育部通过两种主要途径提供特教服务：一是专门的视障学校和听障学校，二是在主流学校中设置特殊班级（Mohd Nor et al., n.d.）。但马来西亚的"医教结合"合作模式的显著特征是：教育部层面的服务供给（特殊班和特教学校）与NGO、企业和社会资源之间存在一种功能互补的非正式安排。教育部与NGO、企业合作开展培训、研讨会和包容性项目（Mohd Nor et al., n.d.），这意味着与非政府组织的合作已成为马来西亚特教服务体系的常规组成部分，而非临时性、项目制的补充。</w:t>
      </w:r>
    </w:p>
    <w:p>
      <w:pPr>
        <w:spacing w:line="480" w:lineRule="auto" w:before="0" w:after="0"/>
        <w:ind w:firstLine="480"/>
        <w:jc w:val="both"/>
      </w:pPr>
      <w:r>
        <w:rPr>
          <w:rFonts w:ascii="Times New Roman" w:hAnsi="Times New Roman" w:eastAsia="WenQuanYi Micro Hei"/>
          <w:b w:val="0"/>
          <w:i w:val="0"/>
          <w:sz w:val="24"/>
        </w:rPr>
        <w:t>在康复机构方面，社区康复中心（CBR）由政府社会福利部门（JKM）建立（Tchibozo, 2012; Mokhtar &amp; Abd Jalil, 2016；另见 Ministry of Women, Family and Community Development, Malaysia, 2007）其服务对象是"不符合主流学校入学条件的特殊需求儿童"。这一设定具有结构性意义：马来西亚的教育安置体系实际上将特殊需求儿童分为"可进入主流特殊班/特教学校者"和"不具备入学条件者"两类，前者进入教育部体系，后者进入社会福利部门的CBR体系。这种二分法虽然确保了服务覆盖的广度，但也在制度上制造了一个"教育—康复"之间的断层——CBR体系中的"教育"成分往往被弱化，而教育体系中的"康复"成分也缺乏制度性保障。</w:t>
      </w:r>
    </w:p>
    <w:p>
      <w:pPr>
        <w:spacing w:line="480" w:lineRule="auto" w:before="0" w:after="0"/>
        <w:ind w:firstLine="480"/>
        <w:jc w:val="both"/>
      </w:pPr>
      <w:r>
        <w:rPr>
          <w:rFonts w:ascii="Times New Roman" w:hAnsi="Times New Roman" w:eastAsia="WenQuanYi Micro Hei"/>
          <w:b w:val="0"/>
          <w:i w:val="0"/>
          <w:sz w:val="24"/>
        </w:rPr>
        <w:t>此外，马来西亚存在一些由家长发起并运营的社区早期干预项目，如"Wings Melaka"（Lim, 2006）。该案例表明，当公共部门供给不足或反应迟缓时，马来西亚的家长群体有能力组织替代性服务，并且在市场化论证中获得了较好的"服务提供改善"评价。但这种模式的可持续性高度依赖家长组织的运营能力和资源获取渠道，难以形成可复制的制度模板。</w:t>
      </w:r>
    </w:p>
    <w:p>
      <w:pPr>
        <w:spacing w:line="480" w:lineRule="auto" w:before="240" w:after="0"/>
      </w:pPr>
      <w:r>
        <w:rPr>
          <w:rFonts w:ascii="Times New Roman" w:hAnsi="Times New Roman" w:eastAsia="WenQuanYi Micro Hei"/>
          <w:b/>
          <w:i w:val="0"/>
          <w:sz w:val="24"/>
        </w:rPr>
        <w:t>3.3 文莱：卫生部平台的早期干预与社会福利的社区支持</w:t>
      </w:r>
    </w:p>
    <w:p>
      <w:pPr>
        <w:spacing w:line="480" w:lineRule="auto" w:before="0" w:after="0"/>
        <w:ind w:firstLine="480"/>
        <w:jc w:val="both"/>
      </w:pPr>
      <w:r>
        <w:rPr>
          <w:rFonts w:ascii="Times New Roman" w:hAnsi="Times New Roman" w:eastAsia="WenQuanYi Micro Hei"/>
          <w:b w:val="0"/>
          <w:i w:val="0"/>
          <w:sz w:val="24"/>
        </w:rPr>
        <w:t>文莱的早期干预服务具有一个重要特征：其早期发现和介入服务的平台是由卫生部（Ministry of Health）而非教育部提供的。根据（佐野竜平 等, n.d.），文莱通过卫生部实施的小儿发展中心（Child Development Centre）和小儿科，为NGO（如针对自闭症的SMARTER Brunei）提供平台，开展自闭症儿童的早期发现及其他发育障碍的介入服务。这一安排意味着，在文莱的服务链条中，"早期识别—诊断—初步干预"阶段是由卫生系统主导的，教育系统在儿童学龄前阶段的介入相对后置。这种"卫生先行、教育后进"的时序安排，在理论上有利于保证医学诊断的权威性，但也可能导致教育系统在早期阶段"缺位"的后果——当儿童进入小学时，教育系统需要"接壤"来自卫生系统的信息和干预成果，而这一"接壤"过程是否顺畅，取决于两部门之间的信息传递和协作机制是否成熟。</w:t>
      </w:r>
    </w:p>
    <w:p>
      <w:pPr>
        <w:spacing w:line="480" w:lineRule="auto" w:before="0" w:after="0"/>
        <w:ind w:firstLine="480"/>
        <w:jc w:val="both"/>
      </w:pPr>
      <w:r>
        <w:rPr>
          <w:rFonts w:ascii="Times New Roman" w:hAnsi="Times New Roman" w:eastAsia="WenQuanYi Micro Hei"/>
          <w:b w:val="0"/>
          <w:i w:val="0"/>
          <w:sz w:val="24"/>
        </w:rPr>
        <w:t>文莱的社区服务层面（虽然信息来自1990年代末，需谨慎引用）展示了较为全面的福利安排，涵盖家庭援助、居家改造、出行驾驶支持、休闲娱乐活动等（Saman, 1990）。其核心理念被表述为"给予机会"（giving opportunities）而非"怜悯"（pity），并强调家庭参与和公众教育。这一理念虽然在1990年代即已提出，但从政策话语的角度看，其先进性与当代国际残疾人权利话语（《联合国残疾人权利公约》所强调的"基于权利"而非"基于慈善"的框架）具有较高的吻合度。</w:t>
      </w:r>
    </w:p>
    <w:p>
      <w:pPr>
        <w:spacing w:line="480" w:lineRule="auto" w:before="240" w:after="0"/>
      </w:pPr>
      <w:r>
        <w:rPr>
          <w:rFonts w:ascii="Times New Roman" w:hAnsi="Times New Roman" w:eastAsia="WenQuanYi Micro Hei"/>
          <w:b/>
          <w:i w:val="0"/>
          <w:sz w:val="24"/>
        </w:rPr>
        <w:t>3.4 中国："医教结合"的政策演进与实践分化</w:t>
      </w:r>
    </w:p>
    <w:p>
      <w:pPr>
        <w:spacing w:line="480" w:lineRule="auto" w:before="0" w:after="0"/>
        <w:ind w:firstLine="480"/>
        <w:jc w:val="both"/>
      </w:pPr>
      <w:r>
        <w:rPr>
          <w:rFonts w:ascii="Times New Roman" w:hAnsi="Times New Roman" w:eastAsia="WenQuanYi Micro Hei"/>
          <w:b w:val="0"/>
          <w:i w:val="0"/>
          <w:sz w:val="24"/>
        </w:rPr>
        <w:t>中国的"医教结合"作为一个明确的政策概念，其制度化起点可以追溯到2014年。2014年的《提升计划》（2014—2016年）明确提出要形成"布局合理、学段衔接、普职融通、医教结合"的特殊教育体系（陈影 &amp; 雷江华, 2017；另见 国务院办公厅, 2014）。这一表述的实质是将"医教结合"从一个学术倡议或地方实践上升为国家政策目标，标志着特殊教育政策的重心从"保障入学机会"向"提升服务质量"转型。</w:t>
      </w:r>
    </w:p>
    <w:p>
      <w:pPr>
        <w:spacing w:line="480" w:lineRule="auto" w:before="0" w:after="0"/>
        <w:ind w:firstLine="480"/>
        <w:jc w:val="both"/>
      </w:pPr>
      <w:r>
        <w:rPr>
          <w:rFonts w:ascii="Times New Roman" w:hAnsi="Times New Roman" w:eastAsia="WenQuanYi Micro Hei"/>
          <w:b w:val="0"/>
          <w:i w:val="0"/>
          <w:sz w:val="24"/>
        </w:rPr>
        <w:t>在实践层面，中国各地形成了显著分化的模式。根据搜索结果，最具代表性的包括：</w:t>
      </w:r>
    </w:p>
    <w:p>
      <w:pPr>
        <w:spacing w:line="480" w:lineRule="auto" w:before="0" w:after="0"/>
        <w:ind w:firstLine="480"/>
        <w:jc w:val="both"/>
      </w:pPr>
      <w:r>
        <w:rPr>
          <w:rFonts w:ascii="Times New Roman" w:hAnsi="Times New Roman" w:eastAsia="WenQuanYi Micro Hei"/>
          <w:b w:val="0"/>
          <w:i w:val="0"/>
          <w:sz w:val="24"/>
        </w:rPr>
        <w:t>南通模式：南通通过"校内康复、送教上门、社区康复"三种并行模式来落实医教结合，并建立了基于学校的康复训练中心和完整的课程体系（许小燕, 2015）。这一模式的显著特点在于其系统性和多层性——它不将"医教结合"局限于学校围墙之内，而是将服务延伸到家庭（送教上门）和社区（社区康复），形成了一个较为完整的覆盖链条。</w:t>
      </w:r>
    </w:p>
    <w:p>
      <w:pPr>
        <w:spacing w:line="480" w:lineRule="auto" w:before="0" w:after="0"/>
        <w:ind w:firstLine="480"/>
        <w:jc w:val="both"/>
      </w:pPr>
      <w:r>
        <w:rPr>
          <w:rFonts w:ascii="Times New Roman" w:hAnsi="Times New Roman" w:eastAsia="WenQuanYi Micro Hei"/>
          <w:b w:val="0"/>
          <w:i w:val="0"/>
          <w:sz w:val="24"/>
        </w:rPr>
        <w:t>上海模式：上海作为直辖市和实验区，各区县的医教结合形式各异，但总体上跨部门医教结合已经启动，实验区在体系建设和保障措施上优于其他地区，尤其值得关注的是卫生部门的参与更加积极（Sun, 2012）。这说明，中国"医教结合"的成败很大程度上取决于卫生部门是否真正投入资源和人员，而不仅仅是教育部门的单方面推动。</w:t>
      </w:r>
    </w:p>
    <w:p>
      <w:pPr>
        <w:spacing w:line="480" w:lineRule="auto" w:before="0" w:after="0"/>
        <w:ind w:firstLine="480"/>
        <w:jc w:val="both"/>
      </w:pPr>
      <w:r>
        <w:rPr>
          <w:rFonts w:ascii="Times New Roman" w:hAnsi="Times New Roman" w:eastAsia="WenQuanYi Micro Hei"/>
          <w:b w:val="0"/>
          <w:i w:val="0"/>
          <w:sz w:val="24"/>
        </w:rPr>
        <w:t>厦门、宝山、哈尔滨等地的共同特征：硬件上配套"医教结合功能室"和设备，人员上注重"医教结合人才"的培养（刘金霞, 2017）。但这种"硬件+人员"的模式在许多地方的实践中有流于形式的风险——功能室建起来了、设备买进来了，但如果没有与医疗机构的实质性协作协议和标准化的干预流程，所谓的"医教结合"可能退化为"学校自己搞康复"。</w:t>
      </w:r>
    </w:p>
    <w:p>
      <w:pPr>
        <w:spacing w:line="480" w:lineRule="auto" w:before="0" w:after="0"/>
        <w:ind w:firstLine="480"/>
        <w:jc w:val="both"/>
      </w:pPr>
      <w:r>
        <w:rPr>
          <w:rFonts w:ascii="Times New Roman" w:hAnsi="Times New Roman" w:eastAsia="WenQuanYi Micro Hei"/>
          <w:b w:val="0"/>
          <w:i w:val="0"/>
          <w:sz w:val="24"/>
        </w:rPr>
        <w:t>在"订制性"教学的微观层面，针对中重度智力障碍、脑瘫和自闭症学生，有实践尝试通过多学科融合来实施个性化教学，进行缺陷补偿和潜能开发（李俊强, 2019）。课程设计强调以教学为中心，合理安排康复训练时间，并组建包含医护、教育者和社会工作者的团队（Liang, 2013; 高晶, 2015）。然而，这些"团队"在多大程度上是实质性的多学科协作（各专业人员共同评估、共同制定干预方案、定期沟通调整），在多大程度上只是名义上的"名单存在"，搜索结果无法提供更深入的证据。</w:t>
      </w:r>
    </w:p>
    <w:p>
      <w:pPr>
        <w:spacing w:line="480" w:lineRule="auto" w:before="240" w:after="0"/>
        <w:jc w:val="center"/>
      </w:pPr>
      <w:r>
        <w:rPr>
          <w:rFonts w:ascii="Times New Roman" w:hAnsi="Times New Roman" w:eastAsia="WenQuanYi Micro Hei"/>
          <w:b/>
          <w:i w:val="0"/>
          <w:sz w:val="24"/>
        </w:rPr>
        <w:t>第四章 普通学校内的融合教育支持与康复资源</w:t>
      </w:r>
    </w:p>
    <w:p>
      <w:pPr>
        <w:spacing w:line="480" w:lineRule="auto" w:before="240" w:after="0"/>
      </w:pPr>
      <w:r>
        <w:rPr>
          <w:rFonts w:ascii="Times New Roman" w:hAnsi="Times New Roman" w:eastAsia="WenQuanYi Micro Hei"/>
          <w:b/>
          <w:i w:val="0"/>
          <w:sz w:val="24"/>
        </w:rPr>
        <w:t>4.1 融合教育的制度形态差异</w:t>
      </w:r>
    </w:p>
    <w:p>
      <w:pPr>
        <w:spacing w:line="480" w:lineRule="auto" w:before="0" w:after="0"/>
        <w:ind w:firstLine="480"/>
        <w:jc w:val="both"/>
      </w:pPr>
      <w:r>
        <w:rPr>
          <w:rFonts w:ascii="Times New Roman" w:hAnsi="Times New Roman" w:eastAsia="WenQuanYi Micro Hei"/>
          <w:b w:val="0"/>
          <w:i w:val="0"/>
          <w:sz w:val="24"/>
        </w:rPr>
        <w:t>融合教育（inclusive education）在四地的制度形态存在根本性差异。新加坡虽然在全球教育排名中名列前茅，但其特殊教育体系与主流教育体系在结构上是并行的：主流学校拥有自己的融合支持体系，而特殊教育学校（SPED）则构成了一个相对独立的轨道。这种"并行体系"有其历史原因和现实合理性，但也意味着融合教育的深度和广度受限于主流学校内部的资源配置意愿。</w:t>
      </w:r>
    </w:p>
    <w:p>
      <w:pPr>
        <w:spacing w:line="480" w:lineRule="auto" w:before="0" w:after="0"/>
        <w:ind w:firstLine="480"/>
        <w:jc w:val="both"/>
      </w:pPr>
      <w:r>
        <w:rPr>
          <w:rFonts w:ascii="Times New Roman" w:hAnsi="Times New Roman" w:eastAsia="WenQuanYi Micro Hei"/>
          <w:b w:val="0"/>
          <w:i w:val="0"/>
          <w:sz w:val="24"/>
        </w:rPr>
        <w:t>马来西亚的融合形态更加多样：从全隔离的特殊学校（视障学校、听障学校），到主流学校中的特殊班，再到主流班级中的融合学生，形成了一个梯度化的安置光谱（Mohd Nor et al., n.d.）。这种梯度光谱在理论上可以为不同障碍程度的学生提供"最小限制环境"的匹配，但在实践中也面临着"特殊班学生被污名化"和"主流班级特需学生支持不足"的双重挑战。</w:t>
      </w:r>
    </w:p>
    <w:p>
      <w:pPr>
        <w:spacing w:line="480" w:lineRule="auto" w:before="240" w:after="0"/>
      </w:pPr>
      <w:r>
        <w:rPr>
          <w:rFonts w:ascii="Times New Roman" w:hAnsi="Times New Roman" w:eastAsia="WenQuanYi Micro Hei"/>
          <w:b/>
          <w:i w:val="0"/>
          <w:sz w:val="24"/>
        </w:rPr>
        <w:t>4.2 文莱的SENCO/SENA支持网络</w:t>
      </w:r>
    </w:p>
    <w:p>
      <w:pPr>
        <w:spacing w:line="480" w:lineRule="auto" w:before="0" w:after="0"/>
        <w:ind w:firstLine="480"/>
        <w:jc w:val="both"/>
      </w:pPr>
      <w:r>
        <w:rPr>
          <w:rFonts w:ascii="Times New Roman" w:hAnsi="Times New Roman" w:eastAsia="WenQuanYi Micro Hei"/>
          <w:b w:val="0"/>
          <w:i w:val="0"/>
          <w:sz w:val="24"/>
        </w:rPr>
        <w:t>文莱的融合教育支持体系具有一个值得关注的结构性特征：在主流学校内部设置了特殊教育协调员（SENCO）和特殊教育辅助教师（SENA）的专门角色（Badar, 2016）。这一安排起源于1994年文莱教育部成立的特殊教育单位（SEU），1997年教育部正式采纳包容教育政策，通过修订国家教育体系（SPN）为特殊需求学生提供专门路径。从制度设计的角度看，SENCO/SENA的职能设置意味着文莱的融合教育并非仅停留在"让特需学生进入普通班级"的物理性融合，而是试图在主流学校内部建立一套持续的、有人力配置的组织支持网络——这恰恰是许多东亚和东南亚国家融合教育中最薄弱的环节。</w:t>
      </w:r>
    </w:p>
    <w:p>
      <w:pPr>
        <w:spacing w:line="480" w:lineRule="auto" w:before="0" w:after="0"/>
        <w:ind w:firstLine="480"/>
        <w:jc w:val="both"/>
      </w:pPr>
      <w:r>
        <w:rPr>
          <w:rFonts w:ascii="Times New Roman" w:hAnsi="Times New Roman" w:eastAsia="WenQuanYi Micro Hei"/>
          <w:b w:val="0"/>
          <w:i w:val="0"/>
          <w:sz w:val="24"/>
        </w:rPr>
        <w:t>然而，必须指出的是，关于SENCO和SENA的具体配置比例、专业资质要求、工作职责边界以及与外部医疗康复机构的对接流程，搜索结果没有提供更细化的信息。这使得我们难以判断这一支持网络在实践中的实际运作效果。</w:t>
      </w:r>
    </w:p>
    <w:p>
      <w:pPr>
        <w:spacing w:line="480" w:lineRule="auto" w:before="240" w:after="0"/>
      </w:pPr>
      <w:r>
        <w:rPr>
          <w:rFonts w:ascii="Times New Roman" w:hAnsi="Times New Roman" w:eastAsia="WenQuanYi Micro Hei"/>
          <w:b/>
          <w:i w:val="0"/>
          <w:sz w:val="24"/>
        </w:rPr>
        <w:t>4.3 中国普通学校资源教室的"标准困境"</w:t>
      </w:r>
    </w:p>
    <w:p>
      <w:pPr>
        <w:spacing w:line="480" w:lineRule="auto" w:before="0" w:after="0"/>
        <w:ind w:firstLine="480"/>
        <w:jc w:val="both"/>
      </w:pPr>
      <w:r>
        <w:rPr>
          <w:rFonts w:ascii="Times New Roman" w:hAnsi="Times New Roman" w:eastAsia="WenQuanYi Micro Hei"/>
          <w:b w:val="0"/>
          <w:i w:val="0"/>
          <w:sz w:val="24"/>
        </w:rPr>
        <w:t>中国在融合教育"资源教室"建设方面，面临的核心问题是法定配置标准的不确定性。根据搜索结果，虽然某些地方性实践（如幼儿园IEP团队）中包含了"巡回指导教师"和"相关的康复治疗师"（李雯, n.d.）但这属于地方性或园所级的操作实践，并无国家层面的法定编制标准可依。（陈文华 &amp; 燕铁斌, 2022）提到的《中国康复治疗师岗位标准编制指南》所针对的是医院或通用康复机构，而非中小学驻校岗位。这与本研究所进行的专项查询结果一致：关于"中国大陆与新加坡普通中小学依法配备巡回康复指导师或驻校康复治疗师的法定编制标准"这一具体问题，搜索结果未能提供任何权威的政策文件依据。</w:t>
      </w:r>
    </w:p>
    <w:p>
      <w:pPr>
        <w:spacing w:line="480" w:lineRule="auto" w:before="0" w:after="0"/>
        <w:ind w:firstLine="480"/>
        <w:jc w:val="both"/>
      </w:pPr>
      <w:r>
        <w:rPr>
          <w:rFonts w:ascii="Times New Roman" w:hAnsi="Times New Roman" w:eastAsia="WenQuanYi Micro Hei"/>
          <w:b w:val="0"/>
          <w:i w:val="0"/>
          <w:sz w:val="24"/>
        </w:rPr>
        <w:t>这一"标准缺失"并非偶然。它反映了中国特殊教育政策的一个深层困境：在国家层面，"医教结合"作为政策口号被广泛宣传，但具体的资源配置标准（如多少学生配一名巡回康复师、驻校康复师的资质要求）则被下放至省、市甚至区县的自由裁量空间，导致不同地区之间的资源差距被进一步放大。北京的《儿童引导式教育康复技术规范》（杜海燕 &amp; 顾力宏, 2013）虽然提供了人员、设备及环境要求的技术规范，但其适用背景是儿童福利机构（孤儿/残障儿童），而非普通中小学资源教室。换言之，中国的特殊教育与康复结合在"机构内"（特教学校、福利机构）的标准建设要远早于"普通学校内"的标准建设。</w:t>
      </w:r>
    </w:p>
    <w:p>
      <w:pPr>
        <w:spacing w:line="480" w:lineRule="auto" w:before="240" w:after="0"/>
      </w:pPr>
      <w:r>
        <w:rPr>
          <w:rFonts w:ascii="Times New Roman" w:hAnsi="Times New Roman" w:eastAsia="WenQuanYi Micro Hei"/>
          <w:b/>
          <w:i w:val="0"/>
          <w:sz w:val="24"/>
        </w:rPr>
        <w:t>4.4 医疗处方到IEP的转化：一个普遍的制度空白</w:t>
      </w:r>
    </w:p>
    <w:p>
      <w:pPr>
        <w:spacing w:line="480" w:lineRule="auto" w:before="0" w:after="0"/>
        <w:ind w:firstLine="480"/>
        <w:jc w:val="both"/>
      </w:pPr>
      <w:r>
        <w:rPr>
          <w:rFonts w:ascii="Times New Roman" w:hAnsi="Times New Roman" w:eastAsia="WenQuanYi Micro Hei"/>
          <w:b w:val="0"/>
          <w:i w:val="0"/>
          <w:sz w:val="24"/>
        </w:rPr>
        <w:t>本研究的多轮查询均明确指出一个关键的制度空白：从医疗康复处方到校内个别化教育计划（IEP）的量化训练目标转化，缺乏标准化的操作规范。搜索结果中，IEP团队的构成被反复提及（专业医生、巡回指导教师、融合教师、家长等）（李雯, n.d.; 于素红, n.d.）目标陈述的可观察性和可测量性也被强调（盛永进, 2015），但"医院的具体医疗处方如何转化为校内IEP中的量化训练目标"这一核心环节，没有在任何搜索结果中找到具体的操作规范或标准模板。这意味着，实践中这一转化过程高度依赖个别教师的专业判断和医教双方的人际沟通，制度化的保障机制尚付阙如——这在新加坡、马来西亚和中国三地均如此。</w:t>
      </w:r>
    </w:p>
    <w:p>
      <w:pPr>
        <w:spacing w:line="480" w:lineRule="auto" w:before="240" w:after="0"/>
        <w:jc w:val="center"/>
      </w:pPr>
      <w:r>
        <w:rPr>
          <w:rFonts w:ascii="Times New Roman" w:hAnsi="Times New Roman" w:eastAsia="WenQuanYi Micro Hei"/>
          <w:b/>
          <w:i w:val="0"/>
          <w:sz w:val="24"/>
        </w:rPr>
        <w:t>第五章 社区康复（CBR）：依托社区的教育与康复整合</w:t>
      </w:r>
    </w:p>
    <w:p>
      <w:pPr>
        <w:spacing w:line="480" w:lineRule="auto" w:before="240" w:after="0"/>
      </w:pPr>
      <w:r>
        <w:rPr>
          <w:rFonts w:ascii="Times New Roman" w:hAnsi="Times New Roman" w:eastAsia="WenQuanYi Micro Hei"/>
          <w:b/>
          <w:i w:val="0"/>
          <w:sz w:val="24"/>
        </w:rPr>
        <w:t>5.1 新加坡的社区康复框架</w:t>
      </w:r>
    </w:p>
    <w:p>
      <w:pPr>
        <w:spacing w:line="480" w:lineRule="auto" w:before="0" w:after="0"/>
        <w:ind w:firstLine="480"/>
        <w:jc w:val="both"/>
      </w:pPr>
      <w:r>
        <w:rPr>
          <w:rFonts w:ascii="Times New Roman" w:hAnsi="Times New Roman" w:eastAsia="WenQuanYi Micro Hei"/>
          <w:b w:val="0"/>
          <w:i w:val="0"/>
          <w:sz w:val="24"/>
        </w:rPr>
        <w:t>新加坡在残疾支持服务中逐步构建了社区导向的康复支持体系。虽然新加坡历来以"机构化服务"见长，但近年来其政策重心正在向社区方向倾斜。根据（沈晓明, 2012），新加坡的特殊教育学校与康复中心的协作关系已经涵盖了运动障碍青少年，这意味着康复服务并不完全依赖于医疗机构的门诊模式。在社会家庭发展部（MSF）的职能架构下，部分SNTC（特殊技术或设备）服务的补贴比例高达90%—100%，涵盖一次性设置费和年度预激活费等（Tang, 2019）——这种高比例补贴直接服务于"让康复服务走出医院、进入学校和社区"的政策目标。</w:t>
      </w:r>
    </w:p>
    <w:p>
      <w:pPr>
        <w:spacing w:line="480" w:lineRule="auto" w:before="0" w:after="0"/>
        <w:ind w:firstLine="480"/>
        <w:jc w:val="both"/>
      </w:pPr>
      <w:r>
        <w:rPr>
          <w:rFonts w:ascii="Times New Roman" w:hAnsi="Times New Roman" w:eastAsia="WenQuanYi Micro Hei"/>
          <w:b w:val="0"/>
          <w:i w:val="0"/>
          <w:sz w:val="24"/>
        </w:rPr>
        <w:t>然而，新加坡的CBR与东南亚其他国家的CBR在内涵上有所不同。新加坡的社区康复更接近于"专业康复服务的社区化下沉"，即专业人员和专业设备通过某种机制进入社区或家庭场景，而非严格意义上的WHO-CBR框架下"社区主导、多部门参与"的模式。其优势在于服务专业性有保障，但其成本和覆盖面受限于高度专业化的资源供给能力。</w:t>
      </w:r>
    </w:p>
    <w:p>
      <w:pPr>
        <w:spacing w:line="480" w:lineRule="auto" w:before="240" w:after="0"/>
      </w:pPr>
      <w:r>
        <w:rPr>
          <w:rFonts w:ascii="Times New Roman" w:hAnsi="Times New Roman" w:eastAsia="WenQuanYi Micro Hei"/>
          <w:b/>
          <w:i w:val="0"/>
          <w:sz w:val="24"/>
        </w:rPr>
        <w:t>5.2 马来西亚的CBR传统</w:t>
      </w:r>
    </w:p>
    <w:p>
      <w:pPr>
        <w:spacing w:line="480" w:lineRule="auto" w:before="0" w:after="0"/>
        <w:ind w:firstLine="480"/>
        <w:jc w:val="both"/>
      </w:pPr>
      <w:r>
        <w:rPr>
          <w:rFonts w:ascii="Times New Roman" w:hAnsi="Times New Roman" w:eastAsia="WenQuanYi Micro Hei"/>
          <w:b w:val="0"/>
          <w:i w:val="0"/>
          <w:sz w:val="24"/>
        </w:rPr>
        <w:t>马来西亚的社区康复中心（CBR）有着东南亚地区最长的制度化历史之一。由政府社会福利部门（JKM）建立的CBR中心，长期以来承担着特殊需求儿童的康复与基本教育功能（Tchibozo, 2012; Mokhtar &amp; Abd Jalil, 2016；另见 Ministry of Women, Family and Community Development, Malaysia, 2007）。这一系统的基本逻辑是"兜底"——它优先服务于那些无法进入教育部特殊教育体系（包括特教学校和主流学校特殊班）的儿童。从某种意义上说，马来西亚的CBR体系构成了一道"最后的安全网"，确保了所有特殊需求儿童至少有一个可以获得基础服务的场所。</w:t>
      </w:r>
    </w:p>
    <w:p>
      <w:pPr>
        <w:spacing w:line="480" w:lineRule="auto" w:before="0" w:after="0"/>
        <w:ind w:firstLine="480"/>
        <w:jc w:val="both"/>
      </w:pPr>
      <w:r>
        <w:rPr>
          <w:rFonts w:ascii="Times New Roman" w:hAnsi="Times New Roman" w:eastAsia="WenQuanYi Micro Hei"/>
          <w:b w:val="0"/>
          <w:i w:val="0"/>
          <w:sz w:val="24"/>
        </w:rPr>
        <w:t>但是，CBR在马来西亚的执行质量存在显著的非均衡性。多数转衔计划由教师个人开展，缺乏系统性支持（Mohd Ghazali et al., n.d.）。"Wings Melaka"的成功案例恰恰证明了马来西亚家长群体对于更高质量、更专业化的社区早期干预服务的强烈需求——这从侧面说明现有的政府CBR中心在服务质量和覆盖面方面难以满足家长的实际期望。此外，关于马来西亚CBR的具体服务覆盖率、家庭参与率和长期成效监测指标，搜索结果没有提供直接的量化数据（参考（Lim, 2006）的讨论）。</w:t>
      </w:r>
    </w:p>
    <w:p>
      <w:pPr>
        <w:spacing w:line="480" w:lineRule="auto" w:before="240" w:after="0"/>
      </w:pPr>
      <w:r>
        <w:rPr>
          <w:rFonts w:ascii="Times New Roman" w:hAnsi="Times New Roman" w:eastAsia="WenQuanYi Micro Hei"/>
          <w:b/>
          <w:i w:val="0"/>
          <w:sz w:val="24"/>
        </w:rPr>
        <w:t>5.3 文莱的CBR实践与局限性</w:t>
      </w:r>
    </w:p>
    <w:p>
      <w:pPr>
        <w:spacing w:line="480" w:lineRule="auto" w:before="0" w:after="0"/>
        <w:ind w:firstLine="480"/>
        <w:jc w:val="both"/>
      </w:pPr>
      <w:r>
        <w:rPr>
          <w:rFonts w:ascii="Times New Roman" w:hAnsi="Times New Roman" w:eastAsia="WenQuanYi Micro Hei"/>
          <w:b w:val="0"/>
          <w:i w:val="0"/>
          <w:sz w:val="24"/>
        </w:rPr>
        <w:t>文莱的CBR实践早在1990年代就已展开，其模式强调父母参与、医疗转介和社区资源利用（Saman, 1990）。这一"医疗转介"机制是一个值得注意的设计特征——它意味着文莱的CBR并非独立于医疗系统之外的纯社区活动，而是与医疗资源保持某种制度性的转介关系。然而，信息的时间滞后是一个不可忽视的问题。目前可获取的关于文莱CBR实施细节的信息主要来自1990年代末至2000年代初，距今已有二十余年。在这一时期内，文莱的社会经济结构和技术条件发生了显著变化（如数字技术的普及可以极大降低社区康复的通信和协调成本），但缺乏更新数据意味着我们难以评估文莱CBR的当代适应性和演变轨迹。</w:t>
      </w:r>
    </w:p>
    <w:p>
      <w:pPr>
        <w:spacing w:line="480" w:lineRule="auto" w:before="0" w:after="0"/>
        <w:ind w:firstLine="480"/>
        <w:jc w:val="both"/>
      </w:pPr>
      <w:r>
        <w:rPr>
          <w:rFonts w:ascii="Times New Roman" w:hAnsi="Times New Roman" w:eastAsia="WenQuanYi Micro Hei"/>
          <w:b w:val="0"/>
          <w:i w:val="0"/>
          <w:sz w:val="24"/>
        </w:rPr>
        <w:t>文莱的SMARTER Brunei是一个以自闭症为专门服务对象的NGO，通过与卫生部的小儿发展中心合作开展早期发现和介入服务（佐野竜平 等, n.d.）。这一案例在区域层面具有一定示范意义——它展示了当一个国家的公共卫生体系（卫生部儿童发展中心）主动向特定障碍类别的NGO开放平台时，可以形成怎样的协同效应。但同样，SMARTER Brunei的具体项目运作、资金可持续性以及儿童从SMARTER Brunei进入教育体系的衔接机制，搜索结果未能提供足够深入的信息。</w:t>
      </w:r>
    </w:p>
    <w:p>
      <w:pPr>
        <w:spacing w:line="480" w:lineRule="auto" w:before="240" w:after="0"/>
      </w:pPr>
      <w:r>
        <w:rPr>
          <w:rFonts w:ascii="Times New Roman" w:hAnsi="Times New Roman" w:eastAsia="WenQuanYi Micro Hei"/>
          <w:b/>
          <w:i w:val="0"/>
          <w:sz w:val="24"/>
        </w:rPr>
        <w:t>5.4 中国的社区康复模式：南通经验与结构性困难</w:t>
      </w:r>
    </w:p>
    <w:p>
      <w:pPr>
        <w:spacing w:line="480" w:lineRule="auto" w:before="0" w:after="0"/>
        <w:ind w:firstLine="480"/>
        <w:jc w:val="both"/>
      </w:pPr>
      <w:r>
        <w:rPr>
          <w:rFonts w:ascii="Times New Roman" w:hAnsi="Times New Roman" w:eastAsia="WenQuanYi Micro Hei"/>
          <w:b w:val="0"/>
          <w:i w:val="0"/>
          <w:sz w:val="24"/>
        </w:rPr>
        <w:t>中国南通模式中"社区康复"作为"校内康复、送教上门、社区康复"三支柱之一（许小燕, 2015），在理念上率先将社区康复纳入特殊教育服务体系的总体设计。然而在实践层面，中国社区康复面临的结构性困难比东南亚国家更为复杂：一方面，中国基层社区的康复专业人员严重匮乏——残联在册康复师与患儿的比例在某些地区达到1:130（李伟玉 &amp; 谢桂华, n.d.；另见 中华人民共和国国务院, 2018），这种供需失衡使社区康复的质量难以保证；另一方面，中国康复救助政策的年龄覆盖范围主要局限在0—6岁（杨立雄 &amp; 韦文高, 2024），学龄期以上特需儿童在社区层面的康复资源获取面临显著的政策性缺口。</w:t>
      </w:r>
    </w:p>
    <w:p>
      <w:pPr>
        <w:spacing w:line="480" w:lineRule="auto" w:before="0" w:after="0"/>
        <w:ind w:firstLine="480"/>
        <w:jc w:val="both"/>
      </w:pPr>
      <w:r>
        <w:rPr>
          <w:rFonts w:ascii="Times New Roman" w:hAnsi="Times New Roman" w:eastAsia="WenQuanYi Micro Hei"/>
          <w:b w:val="0"/>
          <w:i w:val="0"/>
          <w:sz w:val="24"/>
        </w:rPr>
        <w:t>这种"低龄聚焦"的政策取向有其经济学逻辑——早期干预的投入产出比最高。但从权利视角看，它以"成本效益"为依据，系统性地将学龄期和成年期特需群体的社区康复需求边缘化了。这是一个需要正视的政策伦理问题。</w:t>
      </w:r>
    </w:p>
    <w:p>
      <w:pPr>
        <w:spacing w:line="480" w:lineRule="auto" w:before="240" w:after="0"/>
        <w:jc w:val="center"/>
      </w:pPr>
      <w:r>
        <w:rPr>
          <w:rFonts w:ascii="Times New Roman" w:hAnsi="Times New Roman" w:eastAsia="WenQuanYi Micro Hei"/>
          <w:b/>
          <w:i w:val="0"/>
          <w:sz w:val="24"/>
        </w:rPr>
        <w:t>第六章 针对不同障碍类别的“特教+康复”结合实践</w:t>
      </w:r>
    </w:p>
    <w:p>
      <w:pPr>
        <w:spacing w:line="480" w:lineRule="auto" w:before="240" w:after="0"/>
      </w:pPr>
      <w:r>
        <w:rPr>
          <w:rFonts w:ascii="Times New Roman" w:hAnsi="Times New Roman" w:eastAsia="WenQuanYi Micro Hei"/>
          <w:b/>
          <w:i w:val="0"/>
          <w:sz w:val="24"/>
        </w:rPr>
        <w:t>6.1 自闭症谱系障碍（ASD）</w:t>
      </w:r>
    </w:p>
    <w:p>
      <w:pPr>
        <w:spacing w:line="480" w:lineRule="auto" w:before="0" w:after="0"/>
        <w:ind w:firstLine="480"/>
        <w:jc w:val="both"/>
      </w:pPr>
      <w:r>
        <w:rPr>
          <w:rFonts w:ascii="Times New Roman" w:hAnsi="Times New Roman" w:eastAsia="WenQuanYi Micro Hei"/>
          <w:b w:val="0"/>
          <w:i w:val="0"/>
          <w:sz w:val="24"/>
        </w:rPr>
        <w:t>自闭症谱系障碍是东南亚地区近年来政策关注度提升最快的障碍类别。东盟秘书处正在支持建立自闭症家庭支持网络，推动社区康复、家庭干预和家长培训，特别关注经济困难家庭中的非歧视性策略（ISEAS–Yusof Ishak Institute, 2019）。这一区域层面的政策动向表明，ASD已经从"罕见疾病"转变为区域公共卫生和教育政策的优先议题。</w:t>
      </w:r>
    </w:p>
    <w:p>
      <w:pPr>
        <w:spacing w:line="480" w:lineRule="auto" w:before="0" w:after="0"/>
        <w:ind w:firstLine="480"/>
        <w:jc w:val="both"/>
      </w:pPr>
      <w:r>
        <w:rPr>
          <w:rFonts w:ascii="Times New Roman" w:hAnsi="Times New Roman" w:eastAsia="WenQuanYi Micro Hei"/>
          <w:b w:val="0"/>
          <w:i w:val="0"/>
          <w:sz w:val="24"/>
        </w:rPr>
        <w:t>在文莱，SMARTER Brunei通过卫生部平台开展自闭症早期发现与介入服务（佐野竜平 等, n.d.），形成了"NGO实施+卫生部门平台"的合作模式。</w:t>
      </w:r>
    </w:p>
    <w:p>
      <w:pPr>
        <w:spacing w:line="480" w:lineRule="auto" w:before="0" w:after="0"/>
        <w:ind w:firstLine="480"/>
        <w:jc w:val="both"/>
      </w:pPr>
      <w:r>
        <w:rPr>
          <w:rFonts w:ascii="Times New Roman" w:hAnsi="Times New Roman" w:eastAsia="WenQuanYi Micro Hei"/>
          <w:b w:val="0"/>
          <w:i w:val="0"/>
          <w:sz w:val="24"/>
        </w:rPr>
        <w:t>在新加坡，自闭症学前儿童的临床实践指南由新加坡医学院（AMS）与卫生部（MOH）联合发布（Academy of Medicine Singapore &amp; Ministry of Health, 2010），这意味着ASD的干预实践在国家级层面有权威性的专业指导文件。但需要指出的是，搜索结果未能提供该指南中关于物理治疗（PT）、作业治疗（OT）、言语治疗（ST）和应用行为分析（ABA）的具体整合技术规范。</w:t>
      </w:r>
    </w:p>
    <w:p>
      <w:pPr>
        <w:spacing w:line="480" w:lineRule="auto" w:before="0" w:after="0"/>
        <w:ind w:firstLine="480"/>
        <w:jc w:val="both"/>
      </w:pPr>
      <w:r>
        <w:rPr>
          <w:rFonts w:ascii="Times New Roman" w:hAnsi="Times New Roman" w:eastAsia="WenQuanYi Micro Hei"/>
          <w:b w:val="0"/>
          <w:i w:val="0"/>
          <w:sz w:val="24"/>
        </w:rPr>
        <w:t>在中国，针对ASD的干预从单一的行为干预逐步向多学科整合转型。搜索结果中，《孤独症谱系障碍防治三级网络规范化建设专家共识》列出了康复目标和多种干预方法，包括心理教育干预和PT/OT/ST等医学专业治疗（中国妇幼保健协会儿童自闭症防治专委会 &amp; 《中国儿童保健杂志》编委会, 2025）。同时，有研究将ABA与认知神经和语言训练联合使用（《ABA行为分析联合认知神经与语言训练对自闭症患儿语言恢复的干预效果分析》, 2025），也有基于"脑肠轴"理论的针刺联合康复训练（钟明生 等, 2025）。但这些实践分别来自不同的地域和机构，缺乏全国统一或跨区域协调的多学科联合干预协议。换言之，中国ASD干预的"多学科"是零散的、个案的，尚未形成规范化的多学科联合机制。</w:t>
      </w:r>
    </w:p>
    <w:p>
      <w:pPr>
        <w:spacing w:line="480" w:lineRule="auto" w:before="240" w:after="0"/>
      </w:pPr>
      <w:r>
        <w:rPr>
          <w:rFonts w:ascii="Times New Roman" w:hAnsi="Times New Roman" w:eastAsia="WenQuanYi Micro Hei"/>
          <w:b/>
          <w:i w:val="0"/>
          <w:sz w:val="24"/>
        </w:rPr>
        <w:t>6.2 智力障碍与学习障碍</w:t>
      </w:r>
    </w:p>
    <w:p>
      <w:pPr>
        <w:spacing w:line="480" w:lineRule="auto" w:before="0" w:after="0"/>
        <w:ind w:firstLine="480"/>
        <w:jc w:val="both"/>
      </w:pPr>
      <w:r>
        <w:rPr>
          <w:rFonts w:ascii="Times New Roman" w:hAnsi="Times New Roman" w:eastAsia="WenQuanYi Micro Hei"/>
          <w:b w:val="0"/>
          <w:i w:val="0"/>
          <w:sz w:val="24"/>
        </w:rPr>
        <w:t>在智力障碍和学习障碍领域，马来西亚的做法具有代表性。其教育体系中对这类学生的安置以主流学校特殊班为主（Mohd Nor et al., n.d.），辅以NGO和CBR中心。但马来西亚相关早期评估工具被明确限定在0—6岁的"婴儿和儿童发展检查表"（Pengesanan SSP）（Ab. Latiff et al., 2015），对于学龄期以上智力障碍或学习障碍人士的功能评估和能力发展监测工具，缺乏系统性的制度化安排。</w:t>
      </w:r>
    </w:p>
    <w:p>
      <w:pPr>
        <w:spacing w:line="480" w:lineRule="auto" w:before="0" w:after="0"/>
        <w:ind w:firstLine="480"/>
        <w:jc w:val="both"/>
      </w:pPr>
      <w:r>
        <w:rPr>
          <w:rFonts w:ascii="Times New Roman" w:hAnsi="Times New Roman" w:eastAsia="WenQuanYi Micro Hei"/>
          <w:b w:val="0"/>
          <w:i w:val="0"/>
          <w:sz w:val="24"/>
        </w:rPr>
        <w:t>中国针对中重度智力障碍学生的"订制性"教学在多学科融合的框架下被提出和实施（李俊强, 2019），目标指向缺陷补偿和潜能开发。但其实际执行质量在区域间差异极大，且没有全国性的效果监测数据。</w:t>
      </w:r>
    </w:p>
    <w:p>
      <w:pPr>
        <w:spacing w:line="480" w:lineRule="auto" w:before="240" w:after="0"/>
      </w:pPr>
      <w:r>
        <w:rPr>
          <w:rFonts w:ascii="Times New Roman" w:hAnsi="Times New Roman" w:eastAsia="WenQuanYi Micro Hei"/>
          <w:b/>
          <w:i w:val="0"/>
          <w:sz w:val="24"/>
        </w:rPr>
        <w:t>6.3 听障与视障</w:t>
      </w:r>
    </w:p>
    <w:p>
      <w:pPr>
        <w:spacing w:line="480" w:lineRule="auto" w:before="0" w:after="0"/>
        <w:ind w:firstLine="480"/>
        <w:jc w:val="both"/>
      </w:pPr>
      <w:r>
        <w:rPr>
          <w:rFonts w:ascii="Times New Roman" w:hAnsi="Times New Roman" w:eastAsia="WenQuanYi Micro Hei"/>
          <w:b w:val="0"/>
          <w:i w:val="0"/>
          <w:sz w:val="24"/>
        </w:rPr>
        <w:t>听障和视障群体在四地的处境具有特殊性。相比ASD和学习障碍，听障与视障群体的服务传统更悠久，机构化程度也更高。马来西亚设有专门的视障学校和听障学校（Mohd Nor et al., n.d.），体现了这一领域相对成熟的机构建制。中国在听障领域的康复也相对成熟，部分地区对人工耳蜗术后康复给予补助（杨立雄 &amp; 韦文高, 2024），且"听力语言康复"在中国特殊教育与康复结合领域是最早形成规范化路径的类别之一。</w:t>
      </w:r>
    </w:p>
    <w:p>
      <w:pPr>
        <w:spacing w:line="480" w:lineRule="auto" w:before="0" w:after="0"/>
        <w:ind w:firstLine="480"/>
        <w:jc w:val="both"/>
      </w:pPr>
      <w:r>
        <w:rPr>
          <w:rFonts w:ascii="Times New Roman" w:hAnsi="Times New Roman" w:eastAsia="WenQuanYi Micro Hei"/>
          <w:b w:val="0"/>
          <w:i w:val="0"/>
          <w:sz w:val="24"/>
        </w:rPr>
        <w:t>然而，视障和听障群体在"融合教育"背景下面临的挑战与ASD/智障群体不同。他们的核心需求不是减少"问题行为"或提升"认知理解"，而是无障碍环境的适配和替代性感官通道的开发。这意味着视障/听障的"医教结合"更多指向辅助技术（助听器验配、盲文教学设备）和特殊技能训练（定向行走、手语），而非传统意义上的"康复治疗"。这一维度在搜索结果中相对被边缘化，反映了区域政策对ASD和智障类别的高度聚焦可能压缩了对感官障碍群体的政策注意力。</w:t>
      </w:r>
    </w:p>
    <w:p>
      <w:pPr>
        <w:spacing w:line="480" w:lineRule="auto" w:before="240" w:after="0"/>
      </w:pPr>
      <w:r>
        <w:rPr>
          <w:rFonts w:ascii="Times New Roman" w:hAnsi="Times New Roman" w:eastAsia="WenQuanYi Micro Hei"/>
          <w:b/>
          <w:i w:val="0"/>
          <w:sz w:val="24"/>
        </w:rPr>
        <w:t>6.4 脑瘫与肢体障碍</w:t>
      </w:r>
    </w:p>
    <w:p>
      <w:pPr>
        <w:spacing w:line="480" w:lineRule="auto" w:before="0" w:after="0"/>
        <w:ind w:firstLine="480"/>
        <w:jc w:val="both"/>
      </w:pPr>
      <w:r>
        <w:rPr>
          <w:rFonts w:ascii="Times New Roman" w:hAnsi="Times New Roman" w:eastAsia="WenQuanYi Micro Hei"/>
          <w:b w:val="0"/>
          <w:i w:val="0"/>
          <w:sz w:val="24"/>
        </w:rPr>
        <w:t>脑瘫儿童的服务需求是"医教结合"最典型的范例——因为他们几乎无一例外地需要持续的物理治疗（PT）、作业治疗（OT）以及在某些情况下的言语治疗（ST），同时其认知发展又需要教育干预。新加坡的特殊教育学校与康复中心之间的协作被明确指出服务于"运动障碍青少年"（Sarrazin, 2014），体现了对这一类别需求的制度性回应。</w:t>
      </w:r>
    </w:p>
    <w:p>
      <w:pPr>
        <w:spacing w:line="480" w:lineRule="auto" w:before="0" w:after="0"/>
        <w:ind w:firstLine="480"/>
        <w:jc w:val="both"/>
      </w:pPr>
      <w:r>
        <w:rPr>
          <w:rFonts w:ascii="Times New Roman" w:hAnsi="Times New Roman" w:eastAsia="WenQuanYi Micro Hei"/>
          <w:b w:val="0"/>
          <w:i w:val="0"/>
          <w:sz w:val="24"/>
        </w:rPr>
        <w:t>中国针对脑瘫的临床研究较多关注特定干预方案的疗效，如"鼠神经生长因子联合核心稳定性训练"（李秀丽 等, 2025）或"苯海索联合物理治疗"（张峰, 2017）。需要注意的是，这些研究均来自医院临床背景，而非学校场景。脑瘫儿童在普通学校或特教学校中，如何将医院制定的PT/OT方案转化为校内可执行的康复训练，仍然缺乏制度化的衔接机制。</w:t>
      </w:r>
    </w:p>
    <w:p>
      <w:pPr>
        <w:spacing w:line="480" w:lineRule="auto" w:before="0" w:after="0"/>
        <w:ind w:firstLine="480"/>
        <w:jc w:val="both"/>
      </w:pPr>
      <w:r>
        <w:rPr>
          <w:rFonts w:ascii="Times New Roman" w:hAnsi="Times New Roman" w:eastAsia="WenQuanYi Micro Hei"/>
          <w:b w:val="0"/>
          <w:i w:val="0"/>
          <w:sz w:val="24"/>
        </w:rPr>
        <w:t>一个值得关注的区域研究（Hussain et al., 2026）指出，PT+OT联合干预优于常规护理，但该研究来自印度。这说明在东南亚及南亚地区，脑瘫的多学科联合干预的证据基础正在形成，但其证据向政策转化的速度仍然缓慢。</w:t>
      </w:r>
    </w:p>
    <w:p>
      <w:pPr>
        <w:spacing w:line="480" w:lineRule="auto" w:before="240" w:after="0"/>
        <w:jc w:val="center"/>
      </w:pPr>
      <w:r>
        <w:rPr>
          <w:rFonts w:ascii="Times New Roman" w:hAnsi="Times New Roman" w:eastAsia="WenQuanYi Micro Hei"/>
          <w:b/>
          <w:i w:val="0"/>
          <w:sz w:val="24"/>
        </w:rPr>
        <w:t>第七章 特殊教育政策制度与转衔流程</w:t>
      </w:r>
    </w:p>
    <w:p>
      <w:pPr>
        <w:spacing w:line="480" w:lineRule="auto" w:before="240" w:after="0"/>
      </w:pPr>
      <w:r>
        <w:rPr>
          <w:rFonts w:ascii="Times New Roman" w:hAnsi="Times New Roman" w:eastAsia="WenQuanYi Micro Hei"/>
          <w:b/>
          <w:i w:val="0"/>
          <w:sz w:val="24"/>
        </w:rPr>
        <w:t>7.1 政策框架的比较概览</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361"/>
          </w:tcPr>
          <w:p>
            <w:pPr>
              <w:spacing w:after="40" w:line="276" w:lineRule="auto"/>
            </w:pPr>
            <w:r>
              <w:rPr>
                <w:rFonts w:ascii="Times New Roman" w:hAnsi="Times New Roman" w:eastAsia="WenQuanYi Micro Hei"/>
                <w:b/>
                <w:i w:val="0"/>
                <w:sz w:val="18"/>
              </w:rPr>
              <w:t>维度</w:t>
            </w:r>
          </w:p>
        </w:tc>
        <w:tc>
          <w:tcPr>
            <w:tcW w:type="dxa" w:w="2211"/>
          </w:tcPr>
          <w:p>
            <w:pPr>
              <w:spacing w:after="40" w:line="276" w:lineRule="auto"/>
            </w:pPr>
            <w:r>
              <w:rPr>
                <w:rFonts w:ascii="Times New Roman" w:hAnsi="Times New Roman" w:eastAsia="WenQuanYi Micro Hei"/>
                <w:b/>
                <w:i w:val="0"/>
                <w:sz w:val="18"/>
              </w:rPr>
              <w:t>新加坡</w:t>
            </w:r>
          </w:p>
        </w:tc>
        <w:tc>
          <w:tcPr>
            <w:tcW w:type="dxa" w:w="2098"/>
          </w:tcPr>
          <w:p>
            <w:pPr>
              <w:spacing w:after="40" w:line="276" w:lineRule="auto"/>
            </w:pPr>
            <w:r>
              <w:rPr>
                <w:rFonts w:ascii="Times New Roman" w:hAnsi="Times New Roman" w:eastAsia="WenQuanYi Micro Hei"/>
                <w:b/>
                <w:i w:val="0"/>
                <w:sz w:val="18"/>
              </w:rPr>
              <w:t>马来西亚</w:t>
            </w:r>
          </w:p>
        </w:tc>
        <w:tc>
          <w:tcPr>
            <w:tcW w:type="dxa" w:w="1644"/>
          </w:tcPr>
          <w:p>
            <w:pPr>
              <w:spacing w:after="40" w:line="276" w:lineRule="auto"/>
            </w:pPr>
            <w:r>
              <w:rPr>
                <w:rFonts w:ascii="Times New Roman" w:hAnsi="Times New Roman" w:eastAsia="WenQuanYi Micro Hei"/>
                <w:b/>
                <w:i w:val="0"/>
                <w:sz w:val="18"/>
              </w:rPr>
              <w:t>文莱</w:t>
            </w:r>
          </w:p>
        </w:tc>
        <w:tc>
          <w:tcPr>
            <w:tcW w:type="dxa" w:w="2041"/>
          </w:tcPr>
          <w:p>
            <w:pPr>
              <w:spacing w:after="40" w:line="276" w:lineRule="auto"/>
            </w:pPr>
            <w:r>
              <w:rPr>
                <w:rFonts w:ascii="Times New Roman" w:hAnsi="Times New Roman" w:eastAsia="WenQuanYi Micro Hei"/>
                <w:b/>
                <w:i w:val="0"/>
                <w:sz w:val="18"/>
              </w:rPr>
              <w:t>中国</w:t>
            </w:r>
          </w:p>
        </w:tc>
      </w:tr>
      <w:tr>
        <w:tc>
          <w:tcPr>
            <w:tcW w:type="dxa" w:w="1361"/>
          </w:tcPr>
          <w:p>
            <w:pPr>
              <w:spacing w:after="40" w:line="276" w:lineRule="auto"/>
            </w:pPr>
            <w:r>
              <w:rPr>
                <w:rFonts w:ascii="Times New Roman" w:hAnsi="Times New Roman" w:eastAsia="WenQuanYi Micro Hei"/>
                <w:b w:val="0"/>
                <w:i w:val="0"/>
                <w:sz w:val="18"/>
              </w:rPr>
              <w:t>核心政策概念</w:t>
            </w:r>
          </w:p>
        </w:tc>
        <w:tc>
          <w:tcPr>
            <w:tcW w:type="dxa" w:w="2211"/>
          </w:tcPr>
          <w:p>
            <w:pPr>
              <w:spacing w:after="40" w:line="276" w:lineRule="auto"/>
            </w:pPr>
            <w:r>
              <w:rPr>
                <w:rFonts w:ascii="Times New Roman" w:hAnsi="Times New Roman" w:eastAsia="WenQuanYi Micro Hei"/>
                <w:b w:val="0"/>
                <w:i w:val="0"/>
                <w:sz w:val="18"/>
              </w:rPr>
              <w:t>服务整合（multi-agency integration）；早期干预并入学前教育</w:t>
            </w:r>
          </w:p>
        </w:tc>
        <w:tc>
          <w:tcPr>
            <w:tcW w:type="dxa" w:w="2098"/>
          </w:tcPr>
          <w:p>
            <w:pPr>
              <w:spacing w:after="40" w:line="276" w:lineRule="auto"/>
            </w:pPr>
            <w:r>
              <w:rPr>
                <w:rFonts w:ascii="Times New Roman" w:hAnsi="Times New Roman" w:eastAsia="WenQuanYi Micro Hei"/>
                <w:b w:val="0"/>
                <w:i w:val="0"/>
                <w:sz w:val="18"/>
              </w:rPr>
              <w:t>分级安置+社区康复兜底；多主体协作</w:t>
            </w:r>
          </w:p>
        </w:tc>
        <w:tc>
          <w:tcPr>
            <w:tcW w:type="dxa" w:w="1644"/>
          </w:tcPr>
          <w:p>
            <w:pPr>
              <w:spacing w:after="40" w:line="276" w:lineRule="auto"/>
            </w:pPr>
            <w:r>
              <w:rPr>
                <w:rFonts w:ascii="Times New Roman" w:hAnsi="Times New Roman" w:eastAsia="WenQuanYi Micro Hei"/>
                <w:b w:val="0"/>
                <w:i w:val="0"/>
                <w:sz w:val="18"/>
              </w:rPr>
              <w:t>包容教育政策+教育部SEU统筹</w:t>
            </w:r>
          </w:p>
        </w:tc>
        <w:tc>
          <w:tcPr>
            <w:tcW w:type="dxa" w:w="2041"/>
          </w:tcPr>
          <w:p>
            <w:pPr>
              <w:spacing w:after="40" w:line="276" w:lineRule="auto"/>
            </w:pPr>
            <w:r>
              <w:rPr>
                <w:rFonts w:ascii="Times New Roman" w:hAnsi="Times New Roman" w:eastAsia="WenQuanYi Micro Hei"/>
                <w:b w:val="0"/>
                <w:i w:val="0"/>
                <w:sz w:val="18"/>
              </w:rPr>
              <w:t>"医教结合"+"学段衔接"</w:t>
            </w:r>
          </w:p>
        </w:tc>
      </w:tr>
      <w:tr>
        <w:tc>
          <w:tcPr>
            <w:tcW w:type="dxa" w:w="1361"/>
          </w:tcPr>
          <w:p>
            <w:pPr>
              <w:spacing w:after="40" w:line="276" w:lineRule="auto"/>
            </w:pPr>
            <w:r>
              <w:rPr>
                <w:rFonts w:ascii="Times New Roman" w:hAnsi="Times New Roman" w:eastAsia="WenQuanYi Micro Hei"/>
                <w:b w:val="0"/>
                <w:i w:val="0"/>
                <w:sz w:val="18"/>
              </w:rPr>
              <w:t>关键制度节点</w:t>
            </w:r>
          </w:p>
        </w:tc>
        <w:tc>
          <w:tcPr>
            <w:tcW w:type="dxa" w:w="2211"/>
          </w:tcPr>
          <w:p>
            <w:pPr>
              <w:spacing w:after="40" w:line="276" w:lineRule="auto"/>
            </w:pPr>
            <w:r>
              <w:rPr>
                <w:rFonts w:ascii="Times New Roman" w:hAnsi="Times New Roman" w:eastAsia="WenQuanYi Micro Hei"/>
                <w:b w:val="0"/>
                <w:i w:val="0"/>
                <w:sz w:val="18"/>
              </w:rPr>
              <w:t>2020年EIPIC整合；SPED评估标准化</w:t>
            </w:r>
          </w:p>
        </w:tc>
        <w:tc>
          <w:tcPr>
            <w:tcW w:type="dxa" w:w="2098"/>
          </w:tcPr>
          <w:p>
            <w:pPr>
              <w:spacing w:after="40" w:line="276" w:lineRule="auto"/>
            </w:pPr>
            <w:r>
              <w:rPr>
                <w:rFonts w:ascii="Times New Roman" w:hAnsi="Times New Roman" w:eastAsia="WenQuanYi Micro Hei"/>
                <w:b w:val="0"/>
                <w:i w:val="0"/>
                <w:sz w:val="18"/>
              </w:rPr>
              <w:t>CBR体系；特殊班制度；NGO协作</w:t>
            </w:r>
          </w:p>
        </w:tc>
        <w:tc>
          <w:tcPr>
            <w:tcW w:type="dxa" w:w="1644"/>
          </w:tcPr>
          <w:p>
            <w:pPr>
              <w:spacing w:after="40" w:line="276" w:lineRule="auto"/>
            </w:pPr>
            <w:r>
              <w:rPr>
                <w:rFonts w:ascii="Times New Roman" w:hAnsi="Times New Roman" w:eastAsia="WenQuanYi Micro Hei"/>
                <w:b w:val="0"/>
                <w:i w:val="0"/>
                <w:sz w:val="18"/>
              </w:rPr>
              <w:t>1994年SEU成立；SPN-21改革；SENCO/SENA</w:t>
            </w:r>
          </w:p>
        </w:tc>
        <w:tc>
          <w:tcPr>
            <w:tcW w:type="dxa" w:w="2041"/>
          </w:tcPr>
          <w:p>
            <w:pPr>
              <w:spacing w:after="40" w:line="276" w:lineRule="auto"/>
            </w:pPr>
            <w:r>
              <w:rPr>
                <w:rFonts w:ascii="Times New Roman" w:hAnsi="Times New Roman" w:eastAsia="WenQuanYi Micro Hei"/>
                <w:b w:val="0"/>
                <w:i w:val="0"/>
                <w:sz w:val="18"/>
              </w:rPr>
              <w:t>2014年《提升计划》；各地"医教结合"实验区</w:t>
            </w:r>
          </w:p>
        </w:tc>
      </w:tr>
      <w:tr>
        <w:tc>
          <w:tcPr>
            <w:tcW w:type="dxa" w:w="1361"/>
          </w:tcPr>
          <w:p>
            <w:pPr>
              <w:spacing w:after="40" w:line="276" w:lineRule="auto"/>
            </w:pPr>
            <w:r>
              <w:rPr>
                <w:rFonts w:ascii="Times New Roman" w:hAnsi="Times New Roman" w:eastAsia="WenQuanYi Micro Hei"/>
                <w:b w:val="0"/>
                <w:i w:val="0"/>
                <w:sz w:val="18"/>
              </w:rPr>
              <w:t>主导部门</w:t>
            </w:r>
          </w:p>
        </w:tc>
        <w:tc>
          <w:tcPr>
            <w:tcW w:type="dxa" w:w="2211"/>
          </w:tcPr>
          <w:p>
            <w:pPr>
              <w:spacing w:after="40" w:line="276" w:lineRule="auto"/>
            </w:pPr>
            <w:r>
              <w:rPr>
                <w:rFonts w:ascii="Times New Roman" w:hAnsi="Times New Roman" w:eastAsia="WenQuanYi Micro Hei"/>
                <w:b w:val="0"/>
                <w:i w:val="0"/>
                <w:sz w:val="18"/>
              </w:rPr>
              <w:t>教育部+社会家庭发展部+卫生部</w:t>
            </w:r>
          </w:p>
        </w:tc>
        <w:tc>
          <w:tcPr>
            <w:tcW w:type="dxa" w:w="2098"/>
          </w:tcPr>
          <w:p>
            <w:pPr>
              <w:spacing w:after="40" w:line="276" w:lineRule="auto"/>
            </w:pPr>
            <w:r>
              <w:rPr>
                <w:rFonts w:ascii="Times New Roman" w:hAnsi="Times New Roman" w:eastAsia="WenQuanYi Micro Hei"/>
                <w:b w:val="0"/>
                <w:i w:val="0"/>
                <w:sz w:val="18"/>
              </w:rPr>
              <w:t>教育部+社会福利部门+NGO</w:t>
            </w:r>
          </w:p>
        </w:tc>
        <w:tc>
          <w:tcPr>
            <w:tcW w:type="dxa" w:w="1644"/>
          </w:tcPr>
          <w:p>
            <w:pPr>
              <w:spacing w:after="40" w:line="276" w:lineRule="auto"/>
            </w:pPr>
            <w:r>
              <w:rPr>
                <w:rFonts w:ascii="Times New Roman" w:hAnsi="Times New Roman" w:eastAsia="WenQuanYi Micro Hei"/>
                <w:b w:val="0"/>
                <w:i w:val="0"/>
                <w:sz w:val="18"/>
              </w:rPr>
              <w:t>教育部+卫生部</w:t>
            </w:r>
          </w:p>
        </w:tc>
        <w:tc>
          <w:tcPr>
            <w:tcW w:type="dxa" w:w="2041"/>
          </w:tcPr>
          <w:p>
            <w:pPr>
              <w:spacing w:after="40" w:line="276" w:lineRule="auto"/>
            </w:pPr>
            <w:r>
              <w:rPr>
                <w:rFonts w:ascii="Times New Roman" w:hAnsi="Times New Roman" w:eastAsia="WenQuanYi Micro Hei"/>
                <w:b w:val="0"/>
                <w:i w:val="0"/>
                <w:sz w:val="18"/>
              </w:rPr>
              <w:t>教育部+残联+卫健委</w:t>
            </w:r>
          </w:p>
        </w:tc>
      </w:tr>
      <w:tr>
        <w:tc>
          <w:tcPr>
            <w:tcW w:type="dxa" w:w="1361"/>
          </w:tcPr>
          <w:p>
            <w:pPr>
              <w:spacing w:after="40" w:line="276" w:lineRule="auto"/>
            </w:pPr>
            <w:r>
              <w:rPr>
                <w:rFonts w:ascii="Times New Roman" w:hAnsi="Times New Roman" w:eastAsia="WenQuanYi Micro Hei"/>
                <w:b w:val="0"/>
                <w:i w:val="0"/>
                <w:sz w:val="18"/>
              </w:rPr>
              <w:t>转衔政策成熟度</w:t>
            </w:r>
          </w:p>
        </w:tc>
        <w:tc>
          <w:tcPr>
            <w:tcW w:type="dxa" w:w="2211"/>
          </w:tcPr>
          <w:p>
            <w:pPr>
              <w:spacing w:after="40" w:line="276" w:lineRule="auto"/>
            </w:pPr>
            <w:r>
              <w:rPr>
                <w:rFonts w:ascii="Times New Roman" w:hAnsi="Times New Roman" w:eastAsia="WenQuanYi Micro Hei"/>
                <w:b w:val="0"/>
                <w:i w:val="0"/>
                <w:sz w:val="18"/>
              </w:rPr>
              <w:t>中等（职业技能分流体系清晰，特需专属转衔支持欠细化）</w:t>
            </w:r>
          </w:p>
        </w:tc>
        <w:tc>
          <w:tcPr>
            <w:tcW w:type="dxa" w:w="2098"/>
          </w:tcPr>
          <w:p>
            <w:pPr>
              <w:spacing w:after="40" w:line="276" w:lineRule="auto"/>
            </w:pPr>
            <w:r>
              <w:rPr>
                <w:rFonts w:ascii="Times New Roman" w:hAnsi="Times New Roman" w:eastAsia="WenQuanYi Micro Hei"/>
                <w:b w:val="0"/>
                <w:i w:val="0"/>
                <w:sz w:val="18"/>
              </w:rPr>
              <w:t>初等（有框架性路径，教师个体执行，缺乏系统工具）</w:t>
            </w:r>
          </w:p>
        </w:tc>
        <w:tc>
          <w:tcPr>
            <w:tcW w:type="dxa" w:w="1644"/>
          </w:tcPr>
          <w:p>
            <w:pPr>
              <w:spacing w:after="40" w:line="276" w:lineRule="auto"/>
            </w:pPr>
            <w:r>
              <w:rPr>
                <w:rFonts w:ascii="Times New Roman" w:hAnsi="Times New Roman" w:eastAsia="WenQuanYi Micro Hei"/>
                <w:b w:val="0"/>
                <w:i w:val="0"/>
                <w:sz w:val="18"/>
              </w:rPr>
              <w:t>不明（早期评估工具存在，中学后转衔细节缺失）</w:t>
            </w:r>
          </w:p>
        </w:tc>
        <w:tc>
          <w:tcPr>
            <w:tcW w:type="dxa" w:w="2041"/>
          </w:tcPr>
          <w:p>
            <w:pPr>
              <w:spacing w:after="40" w:line="276" w:lineRule="auto"/>
            </w:pPr>
            <w:r>
              <w:rPr>
                <w:rFonts w:ascii="Times New Roman" w:hAnsi="Times New Roman" w:eastAsia="WenQuanYi Micro Hei"/>
                <w:b w:val="0"/>
                <w:i w:val="0"/>
                <w:sz w:val="18"/>
              </w:rPr>
              <w:t>初等（2014年后研究增长快，操作标准缺乏）</w:t>
            </w:r>
          </w:p>
        </w:tc>
      </w:tr>
    </w:tbl>
    <w:p>
      <w:pPr>
        <w:spacing w:line="240" w:lineRule="auto" w:after="0"/>
      </w:pPr>
    </w:p>
    <w:p>
      <w:pPr>
        <w:spacing w:line="480" w:lineRule="auto" w:before="240" w:after="0"/>
      </w:pPr>
      <w:r>
        <w:rPr>
          <w:rFonts w:ascii="Times New Roman" w:hAnsi="Times New Roman" w:eastAsia="WenQuanYi Micro Hei"/>
          <w:b/>
          <w:i w:val="0"/>
          <w:sz w:val="24"/>
        </w:rPr>
        <w:t>7.2 新加坡的转衔路径：职业分流体系的镜像与局限</w:t>
      </w:r>
    </w:p>
    <w:p>
      <w:pPr>
        <w:spacing w:line="480" w:lineRule="auto" w:before="0" w:after="0"/>
        <w:ind w:firstLine="480"/>
        <w:jc w:val="both"/>
      </w:pPr>
      <w:r>
        <w:rPr>
          <w:rFonts w:ascii="Times New Roman" w:hAnsi="Times New Roman" w:eastAsia="WenQuanYi Micro Hei"/>
          <w:b w:val="0"/>
          <w:i w:val="0"/>
          <w:sz w:val="24"/>
        </w:rPr>
        <w:t>新加坡的中学后教育与职业培训分流体系在东南亚地区最为精细化：前25%进入初级学院（JC），40%进入理工学院（Polytechnic），25%进入工艺教育学院（ITE），其余10%进入劳动力市场或其他机构（龔雅雯 等, 2015; 袁广西 &amp; 傅强, 2024）。这种分流机制的清晰性本身有利于各类群体的职业发展路径规划——包括特需学生。</w:t>
      </w:r>
    </w:p>
    <w:p>
      <w:pPr>
        <w:spacing w:line="480" w:lineRule="auto" w:before="0" w:after="0"/>
        <w:ind w:firstLine="480"/>
        <w:jc w:val="both"/>
      </w:pPr>
      <w:r>
        <w:rPr>
          <w:rFonts w:ascii="Times New Roman" w:hAnsi="Times New Roman" w:eastAsia="WenQuanYi Micro Hei"/>
          <w:b w:val="0"/>
          <w:i w:val="0"/>
          <w:sz w:val="24"/>
        </w:rPr>
        <w:t>然而，这一分流体系是面对主流学生的整体框架，而非针对特需学生的转衔服务规程。特需学生在中学毕业后如何在JC/理工学院/ITE/劳动力市场之间进行合理匹配，以及在此过程中需要何种专项的支持服务（如职业能力评估、工作场所适应训练、庇护工场的衔接），搜索结果并未提供针对性的政策细节。虽然存在SPED经济援助计划（FAS）等财务支持工具（Lim et al., n.d.），但这些属于"教育阶段的费用援助"而非"转衔服务支持"。</w:t>
      </w:r>
    </w:p>
    <w:p>
      <w:pPr>
        <w:spacing w:line="480" w:lineRule="auto" w:before="240" w:after="0"/>
      </w:pPr>
      <w:r>
        <w:rPr>
          <w:rFonts w:ascii="Times New Roman" w:hAnsi="Times New Roman" w:eastAsia="WenQuanYi Micro Hei"/>
          <w:b/>
          <w:i w:val="0"/>
          <w:sz w:val="24"/>
        </w:rPr>
        <w:t>7.3 马来西亚的转衔路径：框架明确但工具欠缺</w:t>
      </w:r>
    </w:p>
    <w:p>
      <w:pPr>
        <w:spacing w:line="480" w:lineRule="auto" w:before="0" w:after="0"/>
        <w:ind w:firstLine="480"/>
        <w:jc w:val="both"/>
      </w:pPr>
      <w:r>
        <w:rPr>
          <w:rFonts w:ascii="Times New Roman" w:hAnsi="Times New Roman" w:eastAsia="WenQuanYi Micro Hei"/>
          <w:b w:val="0"/>
          <w:i w:val="0"/>
          <w:sz w:val="24"/>
        </w:rPr>
        <w:t>马来西亚的转衔路径相对具有完整性。特殊需求学生从早期干预、学前教育、小学、中学到后中学（Upper 6之后）的纵向发展路径中，明确包含"从学校到工作"的过渡环节，目标指向"独立生活"（Tchibozo, 2012; Abdullah et al., 2011）。在中学毕业后，学生可转介至NGO、庇护工场、继续教育或接受社区康复支持。</w:t>
      </w:r>
    </w:p>
    <w:p>
      <w:pPr>
        <w:spacing w:line="480" w:lineRule="auto" w:before="0" w:after="0"/>
        <w:ind w:firstLine="480"/>
        <w:jc w:val="both"/>
      </w:pPr>
      <w:r>
        <w:rPr>
          <w:rFonts w:ascii="Times New Roman" w:hAnsi="Times New Roman" w:eastAsia="WenQuanYi Micro Hei"/>
          <w:b w:val="0"/>
          <w:i w:val="0"/>
          <w:sz w:val="24"/>
        </w:rPr>
        <w:t>这种多路径的设计在理念上颇为合理——它不预设所有特需学生都走同一条路，而是提供了从"竞争性就业"到"庇护性安置"的梯度选择。但搜索结果同时揭示了一个关键短板：多数转衔计划由教师个人开展，缺乏系统性和工具支撑（Mohd Ghazali et al., n.d.）。这意味着教师的专业能力、时间和资源成为转衔质量的瓶颈。普通和特殊教育者虽然被期待承担规划、指导等角色（Mah Tjun Lyn et al., n.d.），但在缺乏标准化评估工具和政府跨部门协调机制的情况下，教师的个体努力难以转化为制度化的转衔质量保障。马来西亚的转衔路径"框架优于执行"。</w:t>
      </w:r>
    </w:p>
    <w:p>
      <w:pPr>
        <w:spacing w:line="480" w:lineRule="auto" w:before="240" w:after="0"/>
      </w:pPr>
      <w:r>
        <w:rPr>
          <w:rFonts w:ascii="Times New Roman" w:hAnsi="Times New Roman" w:eastAsia="WenQuanYi Micro Hei"/>
          <w:b/>
          <w:i w:val="0"/>
          <w:sz w:val="24"/>
        </w:rPr>
        <w:t>7.4 中国的转衔研究与政策：从无到有的起步</w:t>
      </w:r>
    </w:p>
    <w:p>
      <w:pPr>
        <w:spacing w:line="480" w:lineRule="auto" w:before="0" w:after="0"/>
        <w:ind w:firstLine="480"/>
        <w:jc w:val="both"/>
      </w:pPr>
      <w:r>
        <w:rPr>
          <w:rFonts w:ascii="Times New Roman" w:hAnsi="Times New Roman" w:eastAsia="WenQuanYi Micro Hei"/>
          <w:b w:val="0"/>
          <w:i w:val="0"/>
          <w:sz w:val="24"/>
        </w:rPr>
        <w:t>（陈影 &amp; 雷江华, 2017）明确指出：2014年之前中国国内对特殊教育转衔的研究很少，2014年之后随着政策推动，研究文献量从年均2篇增至9篇以上，但整体研究仍不十分丰富，处于"由慢到快的发展过程中"。这一描述精确地勾勒了中国特殊教育转衔领域的学术和制度成熟度：政策话语中"学段衔接"被反复强调，但缺乏具体的操作标准和跨部门责任分工的正式界定。</w:t>
      </w:r>
    </w:p>
    <w:p>
      <w:pPr>
        <w:spacing w:line="480" w:lineRule="auto" w:before="0" w:after="0"/>
        <w:ind w:firstLine="480"/>
        <w:jc w:val="both"/>
      </w:pPr>
      <w:r>
        <w:rPr>
          <w:rFonts w:ascii="Times New Roman" w:hAnsi="Times New Roman" w:eastAsia="WenQuanYi Micro Hei"/>
          <w:b w:val="0"/>
          <w:i w:val="0"/>
          <w:sz w:val="24"/>
        </w:rPr>
        <w:t>关于"中国特殊学生从中学毕业后进入职业培训、庇护工场或成人社区支持网络的标准操作流程及跨部门协调主体职责划分"，搜索引擎的多轮查询均未能返回直接相关的权威信息。仅有的线索包括：中国有地方研究者编制了"职业转衔需求下专业技能检核表"（《职业转衔需求下专业技能检核表的编制与实施》, 2019），以及一项中美转衔评估工具比较研究指出中国正在构建本土评估体系（张江丽 等, 2025）。这些零散线索表明，中国转衔领域正在经历从"学术探讨"到"工具开发"的尝试性转型，但距离"可操作的制度安排"仍有相当距离。</w:t>
      </w:r>
    </w:p>
    <w:p>
      <w:pPr>
        <w:spacing w:line="480" w:lineRule="auto" w:before="240" w:after="0"/>
      </w:pPr>
      <w:r>
        <w:rPr>
          <w:rFonts w:ascii="Times New Roman" w:hAnsi="Times New Roman" w:eastAsia="WenQuanYi Micro Hei"/>
          <w:b/>
          <w:i w:val="0"/>
          <w:sz w:val="24"/>
        </w:rPr>
        <w:t>7.5 文莱：政策承诺与信息透明度的不对称</w:t>
      </w:r>
    </w:p>
    <w:p>
      <w:pPr>
        <w:spacing w:line="480" w:lineRule="auto" w:before="0" w:after="0"/>
        <w:ind w:firstLine="480"/>
        <w:jc w:val="both"/>
      </w:pPr>
      <w:r>
        <w:rPr>
          <w:rFonts w:ascii="Times New Roman" w:hAnsi="Times New Roman" w:eastAsia="WenQuanYi Micro Hei"/>
          <w:b w:val="0"/>
          <w:i w:val="0"/>
          <w:sz w:val="24"/>
        </w:rPr>
        <w:t>文莱的转衔流程在研究材料中呈现出一个悖论：一方面，文莱在宏观政策层面有明确的融合教育和特殊教育承诺（1994年SEU成立，1997年包容教育政策采纳），且在早期评估阶段有具体工具（Pengesanan SSP检查表适用于0—6岁）（Ab. Latiff et al., 2015; Badar, 2016）；但另一方面，关于特殊需求学生中学毕业后的转衔路径、责任部门和评估工具，信息几乎完全缺失。这种"前端充分、后端缺位"的信息分布，可能反映了文莱在特殊教育服务的"早期"和"晚期"之间存在着制度性的投入不对称——早期干预得到了较多政策关注和资源，而学龄期之后的转衔和成人服务则处于相对被忽视的状态。</w:t>
      </w:r>
    </w:p>
    <w:p>
      <w:pPr>
        <w:spacing w:line="480" w:lineRule="auto" w:before="240" w:after="0"/>
        <w:jc w:val="center"/>
      </w:pPr>
      <w:r>
        <w:rPr>
          <w:rFonts w:ascii="Times New Roman" w:hAnsi="Times New Roman" w:eastAsia="WenQuanYi Micro Hei"/>
          <w:b/>
          <w:i w:val="0"/>
          <w:sz w:val="24"/>
        </w:rPr>
        <w:t>第八章 财政、支付与可持续性</w:t>
      </w:r>
    </w:p>
    <w:p>
      <w:pPr>
        <w:spacing w:line="480" w:lineRule="auto" w:before="240" w:after="0"/>
      </w:pPr>
      <w:r>
        <w:rPr>
          <w:rFonts w:ascii="Times New Roman" w:hAnsi="Times New Roman" w:eastAsia="WenQuanYi Micro Hei"/>
          <w:b/>
          <w:i w:val="0"/>
          <w:sz w:val="24"/>
        </w:rPr>
        <w:t>8.1 新加坡的多元支付框架</w:t>
      </w:r>
    </w:p>
    <w:p>
      <w:pPr>
        <w:spacing w:line="480" w:lineRule="auto" w:before="0" w:after="0"/>
        <w:ind w:firstLine="480"/>
        <w:jc w:val="both"/>
      </w:pPr>
      <w:r>
        <w:rPr>
          <w:rFonts w:ascii="Times New Roman" w:hAnsi="Times New Roman" w:eastAsia="WenQuanYi Micro Hei"/>
          <w:b w:val="0"/>
          <w:i w:val="0"/>
          <w:sz w:val="24"/>
        </w:rPr>
        <w:t>新加坡在医疗和康复服务的财政保障方面，拥有东南亚最精细的多元支付框架——3M体系（Medisave医疗储蓄账户、Medishield Life大病保险、Medifund医疗基金）加上政府补贴、CHAS社区健康援助计划、残疾人专项基金等（Tang, 2019; Lim &amp; Ng, 2016; Yip et al., 2012；另见 Ministry of Health, Singapore, 2024）。针对特殊教育的具体资助，SPED经济援助计划（FAS）以家庭月总收入（不超过2750新元）或人均收入（不超过690新元）为门槛，提供学费援助（Siva Subramanian, 2015; Lim et al., n.d.；另见 Ministry of Education, Singapore, n.d.）。小学阶段的辅助设备由教育部全额资助，中学及以上通过特殊教育基金或相关协会基金支持（Lim et al., n.d.）。</w:t>
      </w:r>
    </w:p>
    <w:p>
      <w:pPr>
        <w:spacing w:line="480" w:lineRule="auto" w:before="0" w:after="0"/>
        <w:ind w:firstLine="480"/>
        <w:jc w:val="both"/>
      </w:pPr>
      <w:r>
        <w:rPr>
          <w:rFonts w:ascii="Times New Roman" w:hAnsi="Times New Roman" w:eastAsia="WenQuanYi Micro Hei"/>
          <w:b w:val="0"/>
          <w:i w:val="0"/>
          <w:sz w:val="24"/>
        </w:rPr>
        <w:t>这种支持框架的显著优势在于：它将"普遍覆盖"（3M体系面向所有国民）与"定向附加"（针对特需群体的专项援助）结合起来，形成了多层次的保障网。但其局限同样明显：收入门槛可能导致"夹心层"家庭（略高于门槛但实际经济压力巨大的家庭）被排斥在援助之外。</w:t>
      </w:r>
    </w:p>
    <w:p>
      <w:pPr>
        <w:spacing w:line="480" w:lineRule="auto" w:before="240" w:after="0"/>
      </w:pPr>
      <w:r>
        <w:rPr>
          <w:rFonts w:ascii="Times New Roman" w:hAnsi="Times New Roman" w:eastAsia="WenQuanYi Micro Hei"/>
          <w:b/>
          <w:i w:val="0"/>
          <w:sz w:val="24"/>
        </w:rPr>
        <w:t>8.2 马来西亚的支付结构：低费服务与高自付并存</w:t>
      </w:r>
    </w:p>
    <w:p>
      <w:pPr>
        <w:spacing w:line="480" w:lineRule="auto" w:before="0" w:after="0"/>
        <w:ind w:firstLine="480"/>
        <w:jc w:val="both"/>
      </w:pPr>
      <w:r>
        <w:rPr>
          <w:rFonts w:ascii="Times New Roman" w:hAnsi="Times New Roman" w:eastAsia="WenQuanYi Micro Hei"/>
          <w:b w:val="0"/>
          <w:i w:val="0"/>
          <w:sz w:val="24"/>
        </w:rPr>
        <w:t>马来西亚的医疗融资体制以单一资金池的税收制为基础（Pocock &amp; Phua, 2011），理论上覆盖全民，但实际自付比例较高，且鼓励使用个人储蓄和私人保险。在康复服务方面，政府及社区康复中心的服务大多免费或低费，但维护服务和备件需自付（Ismail et al., 2022）。然而，关于特需儿童康复服务的政府专项补贴申请条件、医保支付项目明细和家长自费的精确核算标准，搜索结果几乎没有提供有效数据。</w:t>
      </w:r>
    </w:p>
    <w:p>
      <w:pPr>
        <w:spacing w:line="480" w:lineRule="auto" w:before="0" w:after="0"/>
        <w:ind w:firstLine="480"/>
        <w:jc w:val="both"/>
      </w:pPr>
      <w:r>
        <w:rPr>
          <w:rFonts w:ascii="Times New Roman" w:hAnsi="Times New Roman" w:eastAsia="WenQuanYi Micro Hei"/>
          <w:b w:val="0"/>
          <w:i w:val="0"/>
          <w:sz w:val="24"/>
        </w:rPr>
        <w:t>这种信息空白本身就是政策分析的一个发现：它暗示马来西亚在特殊教育康复的财政保障方面缺乏一个清晰的、被制度化表述和公开披露的资金支持框架。与新加坡的3M体系和中国的残联康复救助体系相比，马来西亚在这一领域的政策明细度较低。</w:t>
      </w:r>
    </w:p>
    <w:p>
      <w:pPr>
        <w:spacing w:line="480" w:lineRule="auto" w:before="240" w:after="0"/>
      </w:pPr>
      <w:r>
        <w:rPr>
          <w:rFonts w:ascii="Times New Roman" w:hAnsi="Times New Roman" w:eastAsia="WenQuanYi Micro Hei"/>
          <w:b/>
          <w:i w:val="0"/>
          <w:sz w:val="24"/>
        </w:rPr>
        <w:t>8.3 中国的支付结构：低龄聚焦与地区差异</w:t>
      </w:r>
    </w:p>
    <w:p>
      <w:pPr>
        <w:spacing w:line="480" w:lineRule="auto" w:before="0" w:after="0"/>
        <w:ind w:firstLine="480"/>
        <w:jc w:val="both"/>
      </w:pPr>
      <w:r>
        <w:rPr>
          <w:rFonts w:ascii="Times New Roman" w:hAnsi="Times New Roman" w:eastAsia="WenQuanYi Micro Hei"/>
          <w:b w:val="0"/>
          <w:i w:val="0"/>
          <w:sz w:val="24"/>
        </w:rPr>
        <w:t>中国的康复支付渠道是多元的，包括康复救助、基本医保支付和残联专项补贴（赵秀云, n.d.; 杨立雄 &amp; 韦文高, 2024；另见 中华人民共和国国务院, 2018）。但国务院政策及各省规定的康复救助对象主要集中在0—6岁的残疾儿童（部分经济困难家庭的肢体矫治儿童可延伸至8—14岁）（杨立雄 &amp; 韦文高, 2024；另见 中华人民共和国国务院, 2018）。这意味着学龄期以上特需儿童和青少年的康复费用，基本依赖家庭自费或基本医疗保险的有限覆盖。而基本医疗保险针对PT/OT/ST项目的支付往往是限定性的（部分地区、特定条件），远未形成全国统一的、面向特需群体的康复服务医保支付目录。</w:t>
      </w:r>
    </w:p>
    <w:p>
      <w:pPr>
        <w:spacing w:line="480" w:lineRule="auto" w:before="0" w:after="0"/>
        <w:ind w:firstLine="480"/>
        <w:jc w:val="both"/>
      </w:pPr>
      <w:r>
        <w:rPr>
          <w:rFonts w:ascii="Times New Roman" w:hAnsi="Times New Roman" w:eastAsia="WenQuanYi Micro Hei"/>
          <w:b w:val="0"/>
          <w:i w:val="0"/>
          <w:sz w:val="24"/>
        </w:rPr>
        <w:t>这一政策格局的深层逻辑是：将有限的公共康复资源集中投向"康复潜力最大、干预窗口最佳"的低龄阶段，是一种"投资回报导向"的资源分配策略。但它的代价是学龄期和成年期特需群体的康复需求被系统性忽视，而这些群体的功能障碍如果得不到持续干预，可能加速退化——这实际上可能导致长期社会成本的不降反升。</w:t>
      </w:r>
    </w:p>
    <w:p>
      <w:pPr>
        <w:spacing w:line="480" w:lineRule="auto" w:before="240" w:after="0"/>
        <w:jc w:val="center"/>
      </w:pPr>
      <w:r>
        <w:rPr>
          <w:rFonts w:ascii="Times New Roman" w:hAnsi="Times New Roman" w:eastAsia="WenQuanYi Micro Hei"/>
          <w:b/>
          <w:i w:val="0"/>
          <w:sz w:val="24"/>
        </w:rPr>
        <w:t>第九章 比较分析与核心发现</w:t>
      </w:r>
    </w:p>
    <w:p>
      <w:pPr>
        <w:spacing w:line="480" w:lineRule="auto" w:before="240" w:after="0"/>
      </w:pPr>
      <w:r>
        <w:rPr>
          <w:rFonts w:ascii="Times New Roman" w:hAnsi="Times New Roman" w:eastAsia="WenQuanYi Micro Hei"/>
          <w:b/>
          <w:i w:val="0"/>
          <w:sz w:val="24"/>
        </w:rPr>
        <w:t>9.1 核心发现一：制度整合的深度差异</w:t>
      </w:r>
    </w:p>
    <w:p>
      <w:pPr>
        <w:spacing w:line="480" w:lineRule="auto" w:before="0" w:after="0"/>
        <w:ind w:firstLine="480"/>
        <w:jc w:val="both"/>
      </w:pPr>
      <w:r>
        <w:rPr>
          <w:rFonts w:ascii="Times New Roman" w:hAnsi="Times New Roman" w:eastAsia="WenQuanYi Micro Hei"/>
          <w:b w:val="0"/>
          <w:i w:val="0"/>
          <w:sz w:val="24"/>
        </w:rPr>
        <w:t>四地在"特殊教育与康复结合"领域的最大差异，不在于理念的接受程度（四地均在不同程度上接受了"医教结合""融合教育""多学科协作"等理念），而在于制度整合的深度。新加坡之所以相对领先，关键在于它没有止步于"倡导多部门协作"，而是将协作制度化，形成了评估流程标准化、机构职责明晰化和资助机制多元化的体系。相比之下，中国和马来西亚的"医教结合"在相当程度上仍然是"有政策要求、无操作标准"的状态——各地自行探索，质量高度依赖个别机构和个人的执行能力。</w:t>
      </w:r>
    </w:p>
    <w:p>
      <w:pPr>
        <w:spacing w:line="480" w:lineRule="auto" w:before="240" w:after="0"/>
      </w:pPr>
      <w:r>
        <w:rPr>
          <w:rFonts w:ascii="Times New Roman" w:hAnsi="Times New Roman" w:eastAsia="WenQuanYi Micro Hei"/>
          <w:b/>
          <w:i w:val="0"/>
          <w:sz w:val="24"/>
        </w:rPr>
        <w:t>9.2 核心发现二：转衔服务是共同的制度短板</w:t>
      </w:r>
    </w:p>
    <w:p>
      <w:pPr>
        <w:spacing w:line="480" w:lineRule="auto" w:before="0" w:after="0"/>
        <w:ind w:firstLine="480"/>
        <w:jc w:val="both"/>
      </w:pPr>
      <w:r>
        <w:rPr>
          <w:rFonts w:ascii="Times New Roman" w:hAnsi="Times New Roman" w:eastAsia="WenQuanYi Micro Hei"/>
          <w:b w:val="0"/>
          <w:i w:val="0"/>
          <w:sz w:val="24"/>
        </w:rPr>
        <w:t>四地均面临"教育到成人"转衔服务的制度性薄弱。即便是在服务整合程度较高的新加坡，特需学生中学毕业后进入成人服务体系的专属支持规程仍然缺乏具体细节。马来西亚虽有清晰的"学校到工作"框架理念，但执行工具和系统性支撑缺失。中国的转衔研究刚刚起步，文莱的转衔信息几乎空白。这一共性短板的意义在于：特殊教育服务的"前端投入"（早期干预、义务教育期间的资源保障）如果不能有效地延伸到"后端"（职业培训、就业支持、成年后的社区生活），那么前端的投入效果可能在成年阶段被迅速侵蚀。因此，转衔服务不是特教体系的"附加环节"，而是决定特教投入长期效益的关键节点。</w:t>
      </w:r>
    </w:p>
    <w:p>
      <w:pPr>
        <w:spacing w:line="480" w:lineRule="auto" w:before="240" w:after="0"/>
      </w:pPr>
      <w:r>
        <w:rPr>
          <w:rFonts w:ascii="Times New Roman" w:hAnsi="Times New Roman" w:eastAsia="WenQuanYi Micro Hei"/>
          <w:b/>
          <w:i w:val="0"/>
          <w:sz w:val="24"/>
        </w:rPr>
        <w:t>9.3 核心发现三：NGO与家庭在东南亚的角色不可替代</w:t>
      </w:r>
    </w:p>
    <w:p>
      <w:pPr>
        <w:spacing w:line="480" w:lineRule="auto" w:before="0" w:after="0"/>
        <w:ind w:firstLine="480"/>
        <w:jc w:val="both"/>
      </w:pPr>
      <w:r>
        <w:rPr>
          <w:rFonts w:ascii="Times New Roman" w:hAnsi="Times New Roman" w:eastAsia="WenQuanYi Micro Hei"/>
          <w:b w:val="0"/>
          <w:i w:val="0"/>
          <w:sz w:val="24"/>
        </w:rPr>
        <w:t>马来西亚的NGO补位模式和文莱的SMARTER Brunei案例共同表明，在东南亚地区的政治经济条件下，NGO和家长组织不仅是服务补充者，在很多时候是服务创新的主要驱动者。马来西亚Wings Melaka的家长发起式早期干预项目（Lim, 2006）和文莱以卫生部平台接纳NGO的机制设计（佐野竜平 等, n.d.），都指向一个政策启示：政府与NGO的关系模式，在很大程度上决定了"医教结合"和"社区康复"能否真正落地。与NGO建立制度化的、持续性的合作关系（而非临时性项目合作），是实现服务整合的重要条件。</w:t>
      </w:r>
    </w:p>
    <w:p>
      <w:pPr>
        <w:spacing w:line="480" w:lineRule="auto" w:before="240" w:after="0"/>
      </w:pPr>
      <w:r>
        <w:rPr>
          <w:rFonts w:ascii="Times New Roman" w:hAnsi="Times New Roman" w:eastAsia="WenQuanYi Micro Hei"/>
          <w:b/>
          <w:i w:val="0"/>
          <w:sz w:val="24"/>
        </w:rPr>
        <w:t>9.4 核心发现四：数据与监测体系的普遍缺失</w:t>
      </w:r>
    </w:p>
    <w:p>
      <w:pPr>
        <w:spacing w:line="480" w:lineRule="auto" w:before="0" w:after="0"/>
        <w:ind w:firstLine="480"/>
        <w:jc w:val="both"/>
      </w:pPr>
      <w:r>
        <w:rPr>
          <w:rFonts w:ascii="Times New Roman" w:hAnsi="Times New Roman" w:eastAsia="WenQuanYi Micro Hei"/>
          <w:b w:val="0"/>
          <w:i w:val="0"/>
          <w:sz w:val="24"/>
        </w:rPr>
        <w:t>四地在特殊教育与康复结合领域均存在严重的数据和监测缺失。马来西亚和文莱的CBR项目缺乏服务覆盖率、家庭参与率和长期成效监测指标（搜索结果对此有明确表述）。中国的"医教结合"实验区虽然存在，但缺乏可比较的成效评估标准。即便在新加坡，特需学生的长期纵向追踪数据（从早期干预到成年后的生活质量）虽然在政策界有讨论，但公开可获取的精细数据仍然稀缺。缺乏数据意味着政策评估失去了实证基础，"什么有效、什么无效、对谁有效"的问题无法被认真回答。</w:t>
      </w:r>
    </w:p>
    <w:p>
      <w:pPr>
        <w:spacing w:line="480" w:lineRule="auto" w:before="240" w:after="0"/>
        <w:jc w:val="center"/>
      </w:pPr>
      <w:r>
        <w:rPr>
          <w:rFonts w:ascii="Times New Roman" w:hAnsi="Times New Roman" w:eastAsia="WenQuanYi Micro Hei"/>
          <w:b/>
          <w:i w:val="0"/>
          <w:sz w:val="24"/>
        </w:rPr>
        <w:t>第十章 政策建议</w:t>
      </w:r>
    </w:p>
    <w:p>
      <w:pPr>
        <w:spacing w:line="480" w:lineRule="auto" w:before="240" w:after="0"/>
      </w:pPr>
      <w:r>
        <w:rPr>
          <w:rFonts w:ascii="Times New Roman" w:hAnsi="Times New Roman" w:eastAsia="WenQuanYi Micro Hei"/>
          <w:b/>
          <w:i w:val="0"/>
          <w:sz w:val="24"/>
        </w:rPr>
        <w:t>10.1 建立标准化的"医疗—教育"信息转化协议</w:t>
      </w:r>
    </w:p>
    <w:p>
      <w:pPr>
        <w:spacing w:line="480" w:lineRule="auto" w:before="0" w:after="0"/>
        <w:ind w:firstLine="480"/>
        <w:jc w:val="both"/>
      </w:pPr>
      <w:r>
        <w:rPr>
          <w:rFonts w:ascii="Times New Roman" w:hAnsi="Times New Roman" w:eastAsia="WenQuanYi Micro Hei"/>
          <w:b w:val="0"/>
          <w:i w:val="0"/>
          <w:sz w:val="24"/>
        </w:rPr>
        <w:t>针对"医疗处方如何转化为IEP量化目标"的普遍制度空白，建议四地（尤其是中国和马来西亚）优先制定一套标准化的信息转化协议。该协议应至少包含：（1）医疗诊断与康复评估报告中必须包含的与教育相关的功能信息（如精细运动能力对书写的影响评估）；（2）一个从医疗康复目标（如"改善肩关节活动度"）到教育功能目标（如"独立完成穿衣"）的映射框架；（3）学校康复训练的量化记录与定期反馈机制（使医疗康复师能够了解学校的执行进展并适时调整方案）。</w:t>
      </w:r>
    </w:p>
    <w:p>
      <w:pPr>
        <w:spacing w:line="480" w:lineRule="auto" w:before="240" w:after="0"/>
      </w:pPr>
      <w:r>
        <w:rPr>
          <w:rFonts w:ascii="Times New Roman" w:hAnsi="Times New Roman" w:eastAsia="WenQuanYi Micro Hei"/>
          <w:b/>
          <w:i w:val="0"/>
          <w:sz w:val="24"/>
        </w:rPr>
        <w:t>10.2 将转衔服务纳入立法或强制性政策框架</w:t>
      </w:r>
    </w:p>
    <w:p>
      <w:pPr>
        <w:spacing w:line="480" w:lineRule="auto" w:before="0" w:after="0"/>
        <w:ind w:firstLine="480"/>
        <w:jc w:val="both"/>
      </w:pPr>
      <w:r>
        <w:rPr>
          <w:rFonts w:ascii="Times New Roman" w:hAnsi="Times New Roman" w:eastAsia="WenQuanYi Micro Hei"/>
          <w:b w:val="0"/>
          <w:i w:val="0"/>
          <w:sz w:val="24"/>
        </w:rPr>
        <w:t>建议将转衔服务的启动时间点（如中学阶段中期）、参与部门职责和最低服务内容纳入法律法规或具有强制性的政策文件。马来西亚的教训表明，将转衔责任依托于教师的个人能动性，注定导致质量高度不均。转衔服务的制度化至少需要明确：（1）教育部门与就业/民政/福利部门的交接点；（2）转衔评估的法定时间节点和工具；（3）特需学生毕业后在没有就业或成人服务衔接时的"安全网"安排。</w:t>
      </w:r>
    </w:p>
    <w:p>
      <w:pPr>
        <w:spacing w:line="480" w:lineRule="auto" w:before="240" w:after="0"/>
      </w:pPr>
      <w:r>
        <w:rPr>
          <w:rFonts w:ascii="Times New Roman" w:hAnsi="Times New Roman" w:eastAsia="WenQuanYi Micro Hei"/>
          <w:b/>
          <w:i w:val="0"/>
          <w:sz w:val="24"/>
        </w:rPr>
        <w:t>10.3 拓宽康复资助的年龄覆盖范围</w:t>
      </w:r>
    </w:p>
    <w:p>
      <w:pPr>
        <w:spacing w:line="480" w:lineRule="auto" w:before="0" w:after="0"/>
        <w:ind w:firstLine="480"/>
        <w:jc w:val="both"/>
      </w:pPr>
      <w:r>
        <w:rPr>
          <w:rFonts w:ascii="Times New Roman" w:hAnsi="Times New Roman" w:eastAsia="WenQuanYi Micro Hei"/>
          <w:b w:val="0"/>
          <w:i w:val="0"/>
          <w:sz w:val="24"/>
        </w:rPr>
        <w:t>中国康复救助主要覆盖0—6岁的政策格局亟需调整。建议分阶段将康复救助覆盖范围扩展至学龄期（至少覆盖义务教育阶段），并对成年后的养护和就业支持配套设立专项资助。从成本效益角度看，虽然早期干预回报率最高，但学龄期的持续性康复可以防止功能退化，减少成年期的长期医疗和照护成本。这一"预防性投入"的逻辑需要在政策论证中被更明确地纳入。</w:t>
      </w:r>
    </w:p>
    <w:p>
      <w:pPr>
        <w:spacing w:line="480" w:lineRule="auto" w:before="240" w:after="0"/>
      </w:pPr>
      <w:r>
        <w:rPr>
          <w:rFonts w:ascii="Times New Roman" w:hAnsi="Times New Roman" w:eastAsia="WenQuanYi Micro Hei"/>
          <w:b/>
          <w:i w:val="0"/>
          <w:sz w:val="24"/>
        </w:rPr>
        <w:t>10.4 建立区域性的经验共享与联合研究机制</w:t>
      </w:r>
    </w:p>
    <w:p>
      <w:pPr>
        <w:spacing w:line="480" w:lineRule="auto" w:before="0" w:after="0"/>
        <w:ind w:firstLine="480"/>
        <w:jc w:val="both"/>
      </w:pPr>
      <w:r>
        <w:rPr>
          <w:rFonts w:ascii="Times New Roman" w:hAnsi="Times New Roman" w:eastAsia="WenQuanYi Micro Hei"/>
          <w:b w:val="0"/>
          <w:i w:val="0"/>
          <w:sz w:val="24"/>
        </w:rPr>
        <w:t>鉴于东南亚各国面临的特教康复挑战高度相似（专业人才匮乏、转衔断层、城乡差距、NGO与政府关系），建议依托东盟现有框架（如东盟秘书处已支持的自闭症家庭支持网络）建立一个区域性的特殊教育与康复知识共享平台。该平台的核心功能应包括：（1）各国CBR项目数据库的互联互通，实现服务覆盖率、家长参与率和成效监测指标的标准化采集与跨国比较；（2）"医教结合"操作规范（如医疗康复目标→IEP功能目标的转化模板）的跨国生态校准和共享；（3）转衔服务工具（如马来西亚教师可借鉴新加坡的职业能力评估框架）的联合开发和验证；（4）特殊教育教师的康复基础能力培训的跨国认证试点。从目前四地情况看，各国在特教康复领域的"试点-验证-推广"链条普遍薄弱，单独依靠某一国的科研和行政资源难以完成高质量的实践验证，区域联合是最具成本效益的路径。</w:t>
      </w:r>
    </w:p>
    <w:p>
      <w:pPr>
        <w:spacing w:line="480" w:lineRule="auto" w:before="240" w:after="0"/>
      </w:pPr>
      <w:r>
        <w:rPr>
          <w:rFonts w:ascii="Times New Roman" w:hAnsi="Times New Roman" w:eastAsia="WenQuanYi Micro Hei"/>
          <w:b/>
          <w:i w:val="0"/>
          <w:sz w:val="24"/>
        </w:rPr>
        <w:t>10.5 强化数据治理：建立特需儿童全生命周期纵向追踪数据系统</w:t>
      </w:r>
    </w:p>
    <w:p>
      <w:pPr>
        <w:spacing w:line="480" w:lineRule="auto" w:before="0" w:after="0"/>
        <w:ind w:firstLine="480"/>
        <w:jc w:val="both"/>
      </w:pPr>
      <w:r>
        <w:rPr>
          <w:rFonts w:ascii="Times New Roman" w:hAnsi="Times New Roman" w:eastAsia="WenQuanYi Micro Hei"/>
          <w:b w:val="0"/>
          <w:i w:val="0"/>
          <w:sz w:val="24"/>
        </w:rPr>
        <w:t>四地的数据缺失是政策评估失败的根本原因之一。建议各国（至少包括中国和马来西亚）将特需儿童自早期干预至成人期的纵向追踪数据纳入国家数据治理规划。数据系统至少应捕获：（1）服务接触点（何时、何地、接受何种教育—康复服务）；（2）功能状态变化（采用国际功能、残疾和健康分类-ICF框架作为统一表述语言）；（3）转衔结果（是否进入就业、庇护工场、继续教育或成人照护）；（4）家庭经济负担（自付费用占家庭收入比）。只有建立了这样的证据基础，"医教结合"是否真正产生长期效益、"转衔断层"究竟导致多少特需成年人口"断链"，这些核心政策问题才有可能得到基于事实的答案，而非停留在理念呼吁层面。</w:t>
      </w:r>
    </w:p>
    <w:p>
      <w:pPr>
        <w:spacing w:line="480" w:lineRule="auto" w:before="240" w:after="0"/>
      </w:pPr>
      <w:r>
        <w:rPr>
          <w:rFonts w:ascii="Times New Roman" w:hAnsi="Times New Roman" w:eastAsia="WenQuanYi Micro Hei"/>
          <w:b/>
          <w:i w:val="0"/>
          <w:sz w:val="24"/>
        </w:rPr>
        <w:t>10.6 完善NGO与家庭参与的制度化通道</w:t>
      </w:r>
    </w:p>
    <w:p>
      <w:pPr>
        <w:spacing w:line="480" w:lineRule="auto" w:before="0" w:after="0"/>
        <w:ind w:firstLine="480"/>
        <w:jc w:val="both"/>
      </w:pPr>
      <w:r>
        <w:rPr>
          <w:rFonts w:ascii="Times New Roman" w:hAnsi="Times New Roman" w:eastAsia="WenQuanYi Micro Hei"/>
          <w:b w:val="0"/>
          <w:i w:val="0"/>
          <w:sz w:val="24"/>
        </w:rPr>
        <w:t>东南亚经验表明，NGO和家长组织的灵活性、创新性和问责压力，恰好可以弥补政府服务体系在这些维度的不足。建议政府（尤其是马来西亚和中国）建立NGO与特教康复服务的长期框架性、可持续的关系（而非临时性项目制合作），包括：向符合资质标准的NGO开放公共资源的进入通道（参考文莱通过卫生部平台吸纳SMARTER Brunei的做法）；建立NGO服务质量的公开评估与问责机制；在政策制定过程中设立家长和NGO的常态化参与席位，使"服务使用者"的声音进入制度设计的最前端。</w:t>
      </w:r>
    </w:p>
    <w:p>
      <w:pPr>
        <w:spacing w:line="480" w:lineRule="auto" w:before="240" w:after="0"/>
        <w:jc w:val="center"/>
      </w:pPr>
      <w:r>
        <w:rPr>
          <w:rFonts w:ascii="Times New Roman" w:hAnsi="Times New Roman" w:eastAsia="WenQuanYi Micro Hei"/>
          <w:b/>
          <w:i w:val="0"/>
          <w:sz w:val="24"/>
        </w:rPr>
        <w:t>第十一章 结论与展望</w:t>
      </w:r>
    </w:p>
    <w:p>
      <w:pPr>
        <w:spacing w:line="480" w:lineRule="auto" w:before="240" w:after="0"/>
      </w:pPr>
      <w:r>
        <w:rPr>
          <w:rFonts w:ascii="Times New Roman" w:hAnsi="Times New Roman" w:eastAsia="WenQuanYi Micro Hei"/>
          <w:b/>
          <w:i w:val="0"/>
          <w:sz w:val="24"/>
        </w:rPr>
        <w:t>11.1 研究总结</w:t>
      </w:r>
    </w:p>
    <w:p>
      <w:pPr>
        <w:spacing w:line="480" w:lineRule="auto" w:before="0" w:after="0"/>
        <w:ind w:firstLine="480"/>
        <w:jc w:val="both"/>
      </w:pPr>
      <w:r>
        <w:rPr>
          <w:rFonts w:ascii="Times New Roman" w:hAnsi="Times New Roman" w:eastAsia="WenQuanYi Micro Hei"/>
          <w:b w:val="0"/>
          <w:i w:val="0"/>
          <w:sz w:val="24"/>
        </w:rPr>
        <w:t>本研究通过对新加坡、马来西亚、文莱和中国四个经济体在"特殊教育与康复结合"领域的制度安排、实践模式和转衔流程的系统梳理，得出以下核心结论：</w:t>
      </w:r>
    </w:p>
    <w:p>
      <w:pPr>
        <w:spacing w:line="480" w:lineRule="auto" w:before="0" w:after="0"/>
        <w:ind w:firstLine="480"/>
        <w:jc w:val="both"/>
      </w:pPr>
      <w:r>
        <w:rPr>
          <w:rFonts w:ascii="Times New Roman" w:hAnsi="Times New Roman" w:eastAsia="WenQuanYi Micro Hei"/>
          <w:b w:val="0"/>
          <w:i w:val="0"/>
          <w:sz w:val="24"/>
        </w:rPr>
        <w:t>第一，理念共识与制度落差并存。 四地均在理念层面接受了"医教结合""融合教育""社区康复""多学科协作"等话语，但在制度执行层面呈现出显著梯度。新加坡依托其制度整合能力，将多部门协作转化为标准化流程；马来西亚依靠NGO补位和CBR兜底构建了覆盖性的服务网络，但执行质量高度不均；文莱在政策承诺上明确、在早期干预阶段有卫生部平台支撑，但全链条的信息透明度和后端转衔安排严重不足；中国将"医教结合"上升为国家政策后，各地涌现多样化探索，但普遍面临操作标准缺失、学龄期以上资助断层和转衔工具匮乏的困境。</w:t>
      </w:r>
    </w:p>
    <w:p>
      <w:pPr>
        <w:spacing w:line="480" w:lineRule="auto" w:before="0" w:after="0"/>
        <w:ind w:firstLine="480"/>
        <w:jc w:val="both"/>
      </w:pPr>
      <w:r>
        <w:rPr>
          <w:rFonts w:ascii="Times New Roman" w:hAnsi="Times New Roman" w:eastAsia="WenQuanYi Micro Hei"/>
          <w:b w:val="0"/>
          <w:i w:val="0"/>
          <w:sz w:val="24"/>
        </w:rPr>
        <w:t>第二，转衔断层是四地共同的制度短板。 无论服务体系如何整合，从"受教育儿童"到"享有社会生活的成年人"之间的转衔，都是最薄弱的环节。特教前端投入的效益，在缺乏有效转衔安排的情况下会被显著侵蚀。</w:t>
      </w:r>
    </w:p>
    <w:p>
      <w:pPr>
        <w:spacing w:line="480" w:lineRule="auto" w:before="0" w:after="0"/>
        <w:ind w:firstLine="480"/>
        <w:jc w:val="both"/>
      </w:pPr>
      <w:r>
        <w:rPr>
          <w:rFonts w:ascii="Times New Roman" w:hAnsi="Times New Roman" w:eastAsia="WenQuanYi Micro Hei"/>
          <w:b w:val="0"/>
          <w:i w:val="0"/>
          <w:sz w:val="24"/>
        </w:rPr>
        <w:t>第三，数据与监测的普遍缺失制约了政策迭代。 无法测量，就无法改进。四地均缺乏服务覆盖率、成效和长期纵向追踪的公开数据，这使政策讨论长期停留在理念和政策文件层面，难以进入基于证据的精细化调整阶段。</w:t>
      </w:r>
    </w:p>
    <w:p>
      <w:pPr>
        <w:spacing w:line="480" w:lineRule="auto" w:before="240" w:after="0"/>
      </w:pPr>
      <w:r>
        <w:rPr>
          <w:rFonts w:ascii="Times New Roman" w:hAnsi="Times New Roman" w:eastAsia="WenQuanYi Micro Hei"/>
          <w:b/>
          <w:i w:val="0"/>
          <w:sz w:val="24"/>
        </w:rPr>
        <w:t>11.2 研究局限</w:t>
      </w:r>
    </w:p>
    <w:p>
      <w:pPr>
        <w:spacing w:line="480" w:lineRule="auto" w:before="0" w:after="0"/>
        <w:ind w:firstLine="480"/>
        <w:jc w:val="both"/>
      </w:pPr>
      <w:r>
        <w:rPr>
          <w:rFonts w:ascii="Times New Roman" w:hAnsi="Times New Roman" w:eastAsia="WenQuanYi Micro Hei"/>
          <w:b w:val="0"/>
          <w:i w:val="0"/>
          <w:sz w:val="24"/>
        </w:rPr>
        <w:t>本研究存在若干明确的局限，需在此如实说明：</w:t>
      </w:r>
    </w:p>
    <w:p>
      <w:pPr>
        <w:spacing w:line="480" w:lineRule="auto" w:before="0" w:after="0"/>
        <w:ind w:firstLine="480"/>
        <w:jc w:val="both"/>
      </w:pPr>
      <w:r>
        <w:rPr>
          <w:rFonts w:ascii="Times New Roman" w:hAnsi="Times New Roman" w:eastAsia="WenQuanYi Micro Hei"/>
          <w:b w:val="0"/>
          <w:i w:val="0"/>
          <w:sz w:val="24"/>
        </w:rPr>
        <w:t>第一，信息的时间不对称。关于文莱CBR实践细节的信息主要来自1990年代末期，距今已逾20年，其当代适用性无法确认，本文已对该类信息明确标注年代局限。新加坡、文莱在融合教育和康复领域的最新技术规范、立法文本和精细化财政数据的公开可获得性有限。</w:t>
      </w:r>
    </w:p>
    <w:p>
      <w:pPr>
        <w:spacing w:line="480" w:lineRule="auto" w:before="0" w:after="0"/>
        <w:ind w:firstLine="480"/>
        <w:jc w:val="both"/>
      </w:pPr>
      <w:r>
        <w:rPr>
          <w:rFonts w:ascii="Times New Roman" w:hAnsi="Times New Roman" w:eastAsia="WenQuanYi Micro Hei"/>
          <w:b w:val="0"/>
          <w:i w:val="0"/>
          <w:sz w:val="24"/>
        </w:rPr>
        <w:t>第二，缺乏微观操作数据。本研究主要依赖公开的政策文件、学术研究和机构报告，缺乏对一线教师、康复师、特需儿童家庭的一手访谈数据。因此，"教室里发生了什么""资源教室是否真正运转"这类微观问题无法被充分回答。</w:t>
      </w:r>
    </w:p>
    <w:p>
      <w:pPr>
        <w:spacing w:line="480" w:lineRule="auto" w:before="0" w:after="0"/>
        <w:ind w:firstLine="480"/>
        <w:jc w:val="both"/>
      </w:pPr>
      <w:r>
        <w:rPr>
          <w:rFonts w:ascii="Times New Roman" w:hAnsi="Times New Roman" w:eastAsia="WenQuanYi Micro Hei"/>
          <w:b w:val="0"/>
          <w:i w:val="0"/>
          <w:sz w:val="24"/>
        </w:rPr>
        <w:t>第三，部分关键问题存在证据空白。如中国普通中小学是否依法配备巡回康复指导师或驻校康复治疗师的编制标准、特需学生中学毕业后进入各成人服务通道的标准操作流程等核心问题，搜索结果未能提供权威依据，本文已明确标注这些"未证实"或"信息缺失"的部分，未做推测性补全。</w:t>
      </w:r>
    </w:p>
    <w:p>
      <w:pPr>
        <w:spacing w:line="480" w:lineRule="auto" w:before="240" w:after="0"/>
      </w:pPr>
      <w:r>
        <w:rPr>
          <w:rFonts w:ascii="Times New Roman" w:hAnsi="Times New Roman" w:eastAsia="WenQuanYi Micro Hei"/>
          <w:b/>
          <w:i w:val="0"/>
          <w:sz w:val="24"/>
        </w:rPr>
        <w:t>11.3 面向2026年的展望</w:t>
      </w:r>
    </w:p>
    <w:p>
      <w:pPr>
        <w:spacing w:line="480" w:lineRule="auto" w:before="0" w:after="0"/>
        <w:ind w:firstLine="480"/>
        <w:jc w:val="both"/>
      </w:pPr>
      <w:r>
        <w:rPr>
          <w:rFonts w:ascii="Times New Roman" w:hAnsi="Times New Roman" w:eastAsia="WenQuanYi Micro Hei"/>
          <w:b w:val="0"/>
          <w:i w:val="0"/>
          <w:sz w:val="24"/>
        </w:rPr>
        <w:t>站在2026年9月的时间节点回望，可以观察到几个值得持续跟踪的趋势：</w:t>
      </w:r>
    </w:p>
    <w:p>
      <w:pPr>
        <w:spacing w:line="480" w:lineRule="auto" w:before="0" w:after="0"/>
        <w:ind w:firstLine="480"/>
        <w:jc w:val="both"/>
      </w:pPr>
      <w:r>
        <w:rPr>
          <w:rFonts w:ascii="Times New Roman" w:hAnsi="Times New Roman" w:eastAsia="WenQuanYi Micro Hei"/>
          <w:b w:val="0"/>
          <w:i w:val="0"/>
          <w:sz w:val="24"/>
        </w:rPr>
        <w:t>其一，"早期干预并入学前教育"的理念正在区域扩散。新加坡2020年将早期干预整合进学前教育体系，这一制度设计在人口老龄化、家庭规模缩小的东亚和东南亚背景下具有突出的政策合理性，未来可能为其他经济体所借鉴。</w:t>
      </w:r>
    </w:p>
    <w:p>
      <w:pPr>
        <w:spacing w:line="480" w:lineRule="auto" w:before="0" w:after="0"/>
        <w:ind w:firstLine="480"/>
        <w:jc w:val="both"/>
      </w:pPr>
      <w:r>
        <w:rPr>
          <w:rFonts w:ascii="Times New Roman" w:hAnsi="Times New Roman" w:eastAsia="WenQuanYi Micro Hei"/>
          <w:b w:val="0"/>
          <w:i w:val="0"/>
          <w:sz w:val="24"/>
        </w:rPr>
        <w:t>其二，区域性的集体行动正在形成。东盟秘书处对自闭症家庭支持网络的支持表明，特殊教育已进入区域多边合作议程。但如何从"家庭支持网络"深化为包含CBR标准、转衔工具和师资培训认证在内的制度性合作，仍是开放的问题。</w:t>
      </w:r>
    </w:p>
    <w:p>
      <w:pPr>
        <w:spacing w:line="480" w:lineRule="auto" w:before="0" w:after="0"/>
        <w:ind w:firstLine="480"/>
        <w:jc w:val="both"/>
      </w:pPr>
      <w:r>
        <w:rPr>
          <w:rFonts w:ascii="Times New Roman" w:hAnsi="Times New Roman" w:eastAsia="WenQuanYi Micro Hei"/>
          <w:b w:val="0"/>
          <w:i w:val="0"/>
          <w:sz w:val="24"/>
        </w:rPr>
        <w:t>其三，中国"医教结合"从概念走向操作标准的进程值得关注。2014年《提升计划》之后，中国在该领域的研究和政策探索处于上升通道，如果后续能够在操作标准、年龄覆盖和转衔工具方面实现突破，其体量庞大的实践样本将可能为整个区域乃至国际社会提供有价值的参照。</w:t>
      </w:r>
    </w:p>
    <w:p>
      <w:r>
        <w:br w:type="page"/>
      </w:r>
    </w:p>
    <w:p>
      <w:pPr>
        <w:spacing w:line="480" w:lineRule="auto" w:before="240" w:after="0"/>
        <w:jc w:val="center"/>
      </w:pPr>
      <w:r>
        <w:rPr>
          <w:rFonts w:ascii="Times New Roman" w:hAnsi="Times New Roman" w:eastAsia="WenQuanYi Micro Hei"/>
          <w:b/>
          <w:i w:val="0"/>
          <w:sz w:val="24"/>
        </w:rPr>
        <w:t>附录A 关键概念对照表</w:t>
      </w:r>
    </w:p>
    <w:tbl>
      <w:tblPr>
        <w:tblStyle w:val="TableGrid"/>
        <w:tblW w:type="auto" w:w="0"/>
        <w:jc w:val="center"/>
        <w:tblLook w:firstColumn="1" w:firstRow="1" w:lastColumn="0" w:lastRow="0" w:noHBand="0" w:noVBand="1" w:val="04A0"/>
      </w:tblPr>
      <w:tblGrid>
        <w:gridCol w:w="2835"/>
        <w:gridCol w:w="2835"/>
        <w:gridCol w:w="2835"/>
      </w:tblGrid>
      <w:tr>
        <w:tc>
          <w:tcPr>
            <w:tcW w:type="dxa" w:w="2268"/>
          </w:tcPr>
          <w:p>
            <w:pPr>
              <w:spacing w:after="40" w:line="276" w:lineRule="auto"/>
            </w:pPr>
            <w:r>
              <w:rPr>
                <w:rFonts w:ascii="Times New Roman" w:hAnsi="Times New Roman" w:eastAsia="WenQuanYi Micro Hei"/>
                <w:b/>
                <w:i w:val="0"/>
                <w:sz w:val="18"/>
              </w:rPr>
              <w:t>中文术语</w:t>
            </w:r>
          </w:p>
        </w:tc>
        <w:tc>
          <w:tcPr>
            <w:tcW w:type="dxa" w:w="3175"/>
          </w:tcPr>
          <w:p>
            <w:pPr>
              <w:spacing w:after="40" w:line="276" w:lineRule="auto"/>
            </w:pPr>
            <w:r>
              <w:rPr>
                <w:rFonts w:ascii="Times New Roman" w:hAnsi="Times New Roman" w:eastAsia="WenQuanYi Micro Hei"/>
                <w:b/>
                <w:i w:val="0"/>
                <w:sz w:val="18"/>
              </w:rPr>
              <w:t>英文/当地表述</w:t>
            </w:r>
          </w:p>
        </w:tc>
        <w:tc>
          <w:tcPr>
            <w:tcW w:type="dxa" w:w="2835"/>
          </w:tcPr>
          <w:p>
            <w:pPr>
              <w:spacing w:after="40" w:line="276" w:lineRule="auto"/>
            </w:pPr>
            <w:r>
              <w:rPr>
                <w:rFonts w:ascii="Times New Roman" w:hAnsi="Times New Roman" w:eastAsia="WenQuanYi Micro Hei"/>
                <w:b/>
                <w:i w:val="0"/>
                <w:sz w:val="18"/>
              </w:rPr>
              <w:t>主要适用经济体</w:t>
            </w:r>
          </w:p>
        </w:tc>
      </w:tr>
      <w:tr>
        <w:tc>
          <w:tcPr>
            <w:tcW w:type="dxa" w:w="2268"/>
          </w:tcPr>
          <w:p>
            <w:pPr>
              <w:spacing w:after="40" w:line="276" w:lineRule="auto"/>
            </w:pPr>
            <w:r>
              <w:rPr>
                <w:rFonts w:ascii="Times New Roman" w:hAnsi="Times New Roman" w:eastAsia="WenQuanYi Micro Hei"/>
                <w:b w:val="0"/>
                <w:i w:val="0"/>
                <w:sz w:val="18"/>
              </w:rPr>
              <w:t>医教结合</w:t>
            </w:r>
          </w:p>
        </w:tc>
        <w:tc>
          <w:tcPr>
            <w:tcW w:type="dxa" w:w="3175"/>
          </w:tcPr>
          <w:p>
            <w:pPr>
              <w:spacing w:after="40" w:line="276" w:lineRule="auto"/>
            </w:pPr>
            <w:r>
              <w:rPr>
                <w:rFonts w:ascii="Times New Roman" w:hAnsi="Times New Roman" w:eastAsia="WenQuanYi Micro Hei"/>
                <w:b w:val="0"/>
                <w:i w:val="0"/>
                <w:sz w:val="18"/>
              </w:rPr>
              <w:t>Medical-Education Integration</w:t>
            </w:r>
          </w:p>
        </w:tc>
        <w:tc>
          <w:tcPr>
            <w:tcW w:type="dxa" w:w="2835"/>
          </w:tcPr>
          <w:p>
            <w:pPr>
              <w:spacing w:after="40" w:line="276" w:lineRule="auto"/>
            </w:pPr>
            <w:r>
              <w:rPr>
                <w:rFonts w:ascii="Times New Roman" w:hAnsi="Times New Roman" w:eastAsia="WenQuanYi Micro Hei"/>
                <w:b w:val="0"/>
                <w:i w:val="0"/>
                <w:sz w:val="18"/>
              </w:rPr>
              <w:t>中国</w:t>
            </w:r>
          </w:p>
        </w:tc>
      </w:tr>
      <w:tr>
        <w:tc>
          <w:tcPr>
            <w:tcW w:type="dxa" w:w="2268"/>
          </w:tcPr>
          <w:p>
            <w:pPr>
              <w:spacing w:after="40" w:line="276" w:lineRule="auto"/>
            </w:pPr>
            <w:r>
              <w:rPr>
                <w:rFonts w:ascii="Times New Roman" w:hAnsi="Times New Roman" w:eastAsia="WenQuanYi Micro Hei"/>
                <w:b w:val="0"/>
                <w:i w:val="0"/>
                <w:sz w:val="18"/>
              </w:rPr>
              <w:t>早期干预整合并入学前教育</w:t>
            </w:r>
          </w:p>
        </w:tc>
        <w:tc>
          <w:tcPr>
            <w:tcW w:type="dxa" w:w="3175"/>
          </w:tcPr>
          <w:p>
            <w:pPr>
              <w:spacing w:after="40" w:line="276" w:lineRule="auto"/>
            </w:pPr>
            <w:r>
              <w:rPr>
                <w:rFonts w:ascii="Times New Roman" w:hAnsi="Times New Roman" w:eastAsia="WenQuanYi Micro Hei"/>
                <w:b w:val="0"/>
                <w:i w:val="0"/>
                <w:sz w:val="18"/>
              </w:rPr>
              <w:t>EIPIC (Early Intervention Programme for Infants and Children)</w:t>
            </w:r>
          </w:p>
        </w:tc>
        <w:tc>
          <w:tcPr>
            <w:tcW w:type="dxa" w:w="2835"/>
          </w:tcPr>
          <w:p>
            <w:pPr>
              <w:spacing w:after="40" w:line="276" w:lineRule="auto"/>
            </w:pPr>
            <w:r>
              <w:rPr>
                <w:rFonts w:ascii="Times New Roman" w:hAnsi="Times New Roman" w:eastAsia="WenQuanYi Micro Hei"/>
                <w:b w:val="0"/>
                <w:i w:val="0"/>
                <w:sz w:val="18"/>
              </w:rPr>
              <w:t>新加坡</w:t>
            </w:r>
          </w:p>
        </w:tc>
      </w:tr>
      <w:tr>
        <w:tc>
          <w:tcPr>
            <w:tcW w:type="dxa" w:w="2268"/>
          </w:tcPr>
          <w:p>
            <w:pPr>
              <w:spacing w:after="40" w:line="276" w:lineRule="auto"/>
            </w:pPr>
            <w:r>
              <w:rPr>
                <w:rFonts w:ascii="Times New Roman" w:hAnsi="Times New Roman" w:eastAsia="WenQuanYi Micro Hei"/>
                <w:b w:val="0"/>
                <w:i w:val="0"/>
                <w:sz w:val="18"/>
              </w:rPr>
              <w:t>特殊教育学校</w:t>
            </w:r>
          </w:p>
        </w:tc>
        <w:tc>
          <w:tcPr>
            <w:tcW w:type="dxa" w:w="3175"/>
          </w:tcPr>
          <w:p>
            <w:pPr>
              <w:spacing w:after="40" w:line="276" w:lineRule="auto"/>
            </w:pPr>
            <w:r>
              <w:rPr>
                <w:rFonts w:ascii="Times New Roman" w:hAnsi="Times New Roman" w:eastAsia="WenQuanYi Micro Hei"/>
                <w:b w:val="0"/>
                <w:i w:val="0"/>
                <w:sz w:val="18"/>
              </w:rPr>
              <w:t>SPED schools</w:t>
            </w:r>
          </w:p>
        </w:tc>
        <w:tc>
          <w:tcPr>
            <w:tcW w:type="dxa" w:w="2835"/>
          </w:tcPr>
          <w:p>
            <w:pPr>
              <w:spacing w:after="40" w:line="276" w:lineRule="auto"/>
            </w:pPr>
            <w:r>
              <w:rPr>
                <w:rFonts w:ascii="Times New Roman" w:hAnsi="Times New Roman" w:eastAsia="WenQuanYi Micro Hei"/>
                <w:b w:val="0"/>
                <w:i w:val="0"/>
                <w:sz w:val="18"/>
              </w:rPr>
              <w:t>新加坡</w:t>
            </w:r>
          </w:p>
        </w:tc>
      </w:tr>
      <w:tr>
        <w:tc>
          <w:tcPr>
            <w:tcW w:type="dxa" w:w="2268"/>
          </w:tcPr>
          <w:p>
            <w:pPr>
              <w:spacing w:after="40" w:line="276" w:lineRule="auto"/>
            </w:pPr>
            <w:r>
              <w:rPr>
                <w:rFonts w:ascii="Times New Roman" w:hAnsi="Times New Roman" w:eastAsia="WenQuanYi Micro Hei"/>
                <w:b w:val="0"/>
                <w:i w:val="0"/>
                <w:sz w:val="18"/>
              </w:rPr>
              <w:t>特殊教育协调员/辅助教师</w:t>
            </w:r>
          </w:p>
        </w:tc>
        <w:tc>
          <w:tcPr>
            <w:tcW w:type="dxa" w:w="3175"/>
          </w:tcPr>
          <w:p>
            <w:pPr>
              <w:spacing w:after="40" w:line="276" w:lineRule="auto"/>
            </w:pPr>
            <w:r>
              <w:rPr>
                <w:rFonts w:ascii="Times New Roman" w:hAnsi="Times New Roman" w:eastAsia="WenQuanYi Micro Hei"/>
                <w:b w:val="0"/>
                <w:i w:val="0"/>
                <w:sz w:val="18"/>
              </w:rPr>
              <w:t>SENCO / SENA</w:t>
            </w:r>
          </w:p>
        </w:tc>
        <w:tc>
          <w:tcPr>
            <w:tcW w:type="dxa" w:w="2835"/>
          </w:tcPr>
          <w:p>
            <w:pPr>
              <w:spacing w:after="40" w:line="276" w:lineRule="auto"/>
            </w:pPr>
            <w:r>
              <w:rPr>
                <w:rFonts w:ascii="Times New Roman" w:hAnsi="Times New Roman" w:eastAsia="WenQuanYi Micro Hei"/>
                <w:b w:val="0"/>
                <w:i w:val="0"/>
                <w:sz w:val="18"/>
              </w:rPr>
              <w:t>文莱</w:t>
            </w:r>
          </w:p>
        </w:tc>
      </w:tr>
      <w:tr>
        <w:tc>
          <w:tcPr>
            <w:tcW w:type="dxa" w:w="2268"/>
          </w:tcPr>
          <w:p>
            <w:pPr>
              <w:spacing w:after="40" w:line="276" w:lineRule="auto"/>
            </w:pPr>
            <w:r>
              <w:rPr>
                <w:rFonts w:ascii="Times New Roman" w:hAnsi="Times New Roman" w:eastAsia="WenQuanYi Micro Hei"/>
                <w:b w:val="0"/>
                <w:i w:val="0"/>
                <w:sz w:val="18"/>
              </w:rPr>
              <w:t>社区康复中心</w:t>
            </w:r>
          </w:p>
        </w:tc>
        <w:tc>
          <w:tcPr>
            <w:tcW w:type="dxa" w:w="3175"/>
          </w:tcPr>
          <w:p>
            <w:pPr>
              <w:spacing w:after="40" w:line="276" w:lineRule="auto"/>
            </w:pPr>
            <w:r>
              <w:rPr>
                <w:rFonts w:ascii="Times New Roman" w:hAnsi="Times New Roman" w:eastAsia="WenQuanYi Micro Hei"/>
                <w:b w:val="0"/>
                <w:i w:val="0"/>
                <w:sz w:val="18"/>
              </w:rPr>
              <w:t>CBR (Community-Based Rehabilitation)</w:t>
            </w:r>
          </w:p>
        </w:tc>
        <w:tc>
          <w:tcPr>
            <w:tcW w:type="dxa" w:w="2835"/>
          </w:tcPr>
          <w:p>
            <w:pPr>
              <w:spacing w:after="40" w:line="276" w:lineRule="auto"/>
            </w:pPr>
            <w:r>
              <w:rPr>
                <w:rFonts w:ascii="Times New Roman" w:hAnsi="Times New Roman" w:eastAsia="WenQuanYi Micro Hei"/>
                <w:b w:val="0"/>
                <w:i w:val="0"/>
                <w:sz w:val="18"/>
              </w:rPr>
              <w:t>马来西亚（JKM体系）</w:t>
            </w:r>
          </w:p>
        </w:tc>
      </w:tr>
      <w:tr>
        <w:tc>
          <w:tcPr>
            <w:tcW w:type="dxa" w:w="2268"/>
          </w:tcPr>
          <w:p>
            <w:pPr>
              <w:spacing w:after="40" w:line="276" w:lineRule="auto"/>
            </w:pPr>
            <w:r>
              <w:rPr>
                <w:rFonts w:ascii="Times New Roman" w:hAnsi="Times New Roman" w:eastAsia="WenQuanYi Micro Hei"/>
                <w:b w:val="0"/>
                <w:i w:val="0"/>
                <w:sz w:val="18"/>
              </w:rPr>
              <w:t>个别化教育计划</w:t>
            </w:r>
          </w:p>
        </w:tc>
        <w:tc>
          <w:tcPr>
            <w:tcW w:type="dxa" w:w="3175"/>
          </w:tcPr>
          <w:p>
            <w:pPr>
              <w:spacing w:after="40" w:line="276" w:lineRule="auto"/>
            </w:pPr>
            <w:r>
              <w:rPr>
                <w:rFonts w:ascii="Times New Roman" w:hAnsi="Times New Roman" w:eastAsia="WenQuanYi Micro Hei"/>
                <w:b w:val="0"/>
                <w:i w:val="0"/>
                <w:sz w:val="18"/>
              </w:rPr>
              <w:t>IEP</w:t>
            </w:r>
          </w:p>
        </w:tc>
        <w:tc>
          <w:tcPr>
            <w:tcW w:type="dxa" w:w="2835"/>
          </w:tcPr>
          <w:p>
            <w:pPr>
              <w:spacing w:after="40" w:line="276" w:lineRule="auto"/>
            </w:pPr>
            <w:r>
              <w:rPr>
                <w:rFonts w:ascii="Times New Roman" w:hAnsi="Times New Roman" w:eastAsia="WenQuanYi Micro Hei"/>
                <w:b w:val="0"/>
                <w:i w:val="0"/>
                <w:sz w:val="18"/>
              </w:rPr>
              <w:t>四地通用</w:t>
            </w:r>
          </w:p>
        </w:tc>
      </w:tr>
      <w:tr>
        <w:tc>
          <w:tcPr>
            <w:tcW w:type="dxa" w:w="2268"/>
          </w:tcPr>
          <w:p>
            <w:pPr>
              <w:spacing w:after="40" w:line="276" w:lineRule="auto"/>
            </w:pPr>
            <w:r>
              <w:rPr>
                <w:rFonts w:ascii="Times New Roman" w:hAnsi="Times New Roman" w:eastAsia="WenQuanYi Micro Hei"/>
                <w:b w:val="0"/>
                <w:i w:val="0"/>
                <w:sz w:val="18"/>
              </w:rPr>
              <w:t>转衔服务</w:t>
            </w:r>
          </w:p>
        </w:tc>
        <w:tc>
          <w:tcPr>
            <w:tcW w:type="dxa" w:w="3175"/>
          </w:tcPr>
          <w:p>
            <w:pPr>
              <w:spacing w:after="40" w:line="276" w:lineRule="auto"/>
            </w:pPr>
            <w:r>
              <w:rPr>
                <w:rFonts w:ascii="Times New Roman" w:hAnsi="Times New Roman" w:eastAsia="WenQuanYi Micro Hei"/>
                <w:b w:val="0"/>
                <w:i w:val="0"/>
                <w:sz w:val="18"/>
              </w:rPr>
              <w:t>Transition Service</w:t>
            </w:r>
          </w:p>
        </w:tc>
        <w:tc>
          <w:tcPr>
            <w:tcW w:type="dxa" w:w="2835"/>
          </w:tcPr>
          <w:p>
            <w:pPr>
              <w:spacing w:after="40" w:line="276" w:lineRule="auto"/>
            </w:pPr>
            <w:r>
              <w:rPr>
                <w:rFonts w:ascii="Times New Roman" w:hAnsi="Times New Roman" w:eastAsia="WenQuanYi Micro Hei"/>
                <w:b w:val="0"/>
                <w:i w:val="0"/>
                <w:sz w:val="18"/>
              </w:rPr>
              <w:t>四地通用</w:t>
            </w:r>
          </w:p>
        </w:tc>
      </w:tr>
      <w:tr>
        <w:tc>
          <w:tcPr>
            <w:tcW w:type="dxa" w:w="2268"/>
          </w:tcPr>
          <w:p>
            <w:pPr>
              <w:spacing w:after="40" w:line="276" w:lineRule="auto"/>
            </w:pPr>
            <w:r>
              <w:rPr>
                <w:rFonts w:ascii="Times New Roman" w:hAnsi="Times New Roman" w:eastAsia="WenQuanYi Micro Hei"/>
                <w:b w:val="0"/>
                <w:i w:val="0"/>
                <w:sz w:val="18"/>
              </w:rPr>
              <w:t>特别需求班</w:t>
            </w:r>
          </w:p>
        </w:tc>
        <w:tc>
          <w:tcPr>
            <w:tcW w:type="dxa" w:w="3175"/>
          </w:tcPr>
          <w:p>
            <w:pPr>
              <w:spacing w:after="40" w:line="276" w:lineRule="auto"/>
            </w:pPr>
            <w:r>
              <w:rPr>
                <w:rFonts w:ascii="Times New Roman" w:hAnsi="Times New Roman" w:eastAsia="WenQuanYi Micro Hei"/>
                <w:b w:val="0"/>
                <w:i w:val="0"/>
                <w:sz w:val="18"/>
              </w:rPr>
              <w:t>Special Education Classes</w:t>
            </w:r>
          </w:p>
        </w:tc>
        <w:tc>
          <w:tcPr>
            <w:tcW w:type="dxa" w:w="2835"/>
          </w:tcPr>
          <w:p>
            <w:pPr>
              <w:spacing w:after="40" w:line="276" w:lineRule="auto"/>
            </w:pPr>
            <w:r>
              <w:rPr>
                <w:rFonts w:ascii="Times New Roman" w:hAnsi="Times New Roman" w:eastAsia="WenQuanYi Micro Hei"/>
                <w:b w:val="0"/>
                <w:i w:val="0"/>
                <w:sz w:val="18"/>
              </w:rPr>
              <w:t>马来西亚</w:t>
            </w:r>
          </w:p>
        </w:tc>
      </w:tr>
      <w:tr>
        <w:tc>
          <w:tcPr>
            <w:tcW w:type="dxa" w:w="2268"/>
          </w:tcPr>
          <w:p>
            <w:pPr>
              <w:spacing w:after="40" w:line="276" w:lineRule="auto"/>
            </w:pPr>
            <w:r>
              <w:rPr>
                <w:rFonts w:ascii="Times New Roman" w:hAnsi="Times New Roman" w:eastAsia="WenQuanYi Micro Hei"/>
                <w:b w:val="0"/>
                <w:i w:val="0"/>
                <w:sz w:val="18"/>
              </w:rPr>
              <w:t>多元支付体系</w:t>
            </w:r>
          </w:p>
        </w:tc>
        <w:tc>
          <w:tcPr>
            <w:tcW w:type="dxa" w:w="3175"/>
          </w:tcPr>
          <w:p>
            <w:pPr>
              <w:spacing w:after="40" w:line="276" w:lineRule="auto"/>
            </w:pPr>
            <w:r>
              <w:rPr>
                <w:rFonts w:ascii="Times New Roman" w:hAnsi="Times New Roman" w:eastAsia="WenQuanYi Micro Hei"/>
                <w:b w:val="0"/>
                <w:i w:val="0"/>
                <w:sz w:val="18"/>
              </w:rPr>
              <w:t>3M (Medisave/Medishield/Medifund) + CHAS</w:t>
            </w:r>
          </w:p>
        </w:tc>
        <w:tc>
          <w:tcPr>
            <w:tcW w:type="dxa" w:w="2835"/>
          </w:tcPr>
          <w:p>
            <w:pPr>
              <w:spacing w:after="40" w:line="276" w:lineRule="auto"/>
            </w:pPr>
            <w:r>
              <w:rPr>
                <w:rFonts w:ascii="Times New Roman" w:hAnsi="Times New Roman" w:eastAsia="WenQuanYi Micro Hei"/>
                <w:b w:val="0"/>
                <w:i w:val="0"/>
                <w:sz w:val="18"/>
              </w:rPr>
              <w:t>新加坡</w:t>
            </w:r>
          </w:p>
        </w:tc>
      </w:tr>
    </w:tbl>
    <w:p>
      <w:r>
        <w:br w:type="page"/>
      </w:r>
    </w:p>
    <w:p>
      <w:pPr>
        <w:spacing w:line="480" w:lineRule="auto" w:before="240" w:after="0"/>
        <w:jc w:val="center"/>
      </w:pPr>
      <w:r>
        <w:rPr>
          <w:rFonts w:ascii="Times New Roman" w:hAnsi="Times New Roman" w:eastAsia="WenQuanYi Micro Hei"/>
          <w:b/>
          <w:i w:val="0"/>
          <w:sz w:val="24"/>
        </w:rPr>
        <w:t>参考文献</w:t>
      </w:r>
    </w:p>
    <w:p>
      <w:pPr>
        <w:spacing w:line="480" w:lineRule="auto" w:before="0" w:after="0"/>
        <w:jc w:val="both"/>
      </w:pPr>
      <w:r>
        <w:rPr>
          <w:rFonts w:ascii="Times New Roman" w:hAnsi="Times New Roman" w:eastAsia="WenQuanYi Micro Hei"/>
          <w:b w:val="0"/>
          <w:i/>
          <w:sz w:val="22"/>
        </w:rPr>
        <w:t>说明：以下为正文引用的全部文献，按 APA 第7版著录。西文条目按作者姓氏字母排序，中文与日文条目按作者姓氏汉语拼音（日文按罗马字）排序，机构作者并入相应字顺。出版信息未能核实者于条目内标注“待补”，未作推测性补全。</w:t>
      </w:r>
    </w:p>
    <w:p>
      <w:pPr>
        <w:spacing w:line="480" w:lineRule="auto" w:before="0" w:after="0"/>
        <w:ind w:left="420" w:hanging="420"/>
      </w:pPr>
      <w:r>
        <w:rPr>
          <w:rFonts w:ascii="Times New Roman" w:hAnsi="Times New Roman" w:eastAsia="WenQuanYi Micro Hei"/>
          <w:b w:val="0"/>
          <w:i w:val="0"/>
          <w:sz w:val="24"/>
        </w:rPr>
        <w:t>Ab. Latiff, M. A., Wan Mohamed, W. A., &amp; Asran, M. A. (2015). Inclusive education program in Malaysia: Evolution in policy and challenges. In Proceedings of the International Conference on Special Education (ICSE). SEAMEO SEN. https://zenodo.org/record/6898656</w:t>
      </w:r>
    </w:p>
    <w:p>
      <w:pPr>
        <w:spacing w:line="480" w:lineRule="auto" w:before="0" w:after="0"/>
        <w:ind w:left="420" w:hanging="420"/>
      </w:pPr>
      <w:r>
        <w:rPr>
          <w:rFonts w:ascii="Times New Roman" w:hAnsi="Times New Roman" w:eastAsia="WenQuanYi Micro Hei"/>
          <w:b w:val="0"/>
          <w:i w:val="0"/>
          <w:sz w:val="24"/>
        </w:rPr>
        <w:t>Academy of Medicine Singapore, &amp; Ministry of Health, Singapore. (2010). Academy of Medicine Singapore–Ministry of Health clinical practice guidelines: Autism spectrum disorders in pre-school children. Singapore Medical Journal, 51(6), 428–440.</w:t>
      </w:r>
    </w:p>
    <w:p>
      <w:pPr>
        <w:spacing w:line="480" w:lineRule="auto" w:before="0" w:after="0"/>
        <w:ind w:left="420" w:hanging="420"/>
      </w:pPr>
      <w:r>
        <w:rPr>
          <w:rFonts w:ascii="Times New Roman" w:hAnsi="Times New Roman" w:eastAsia="WenQuanYi Micro Hei"/>
          <w:b w:val="0"/>
          <w:i w:val="0"/>
          <w:sz w:val="24"/>
        </w:rPr>
        <w:t>Abdullah, M. N. L. Y., et al. (2011). Employment of people with disabilities in Malaysia: Drivers and inhibitors. [出版信息待补]. https://eric.ed.gov/?id=EJ1032488</w:t>
      </w:r>
    </w:p>
    <w:p>
      <w:pPr>
        <w:spacing w:line="480" w:lineRule="auto" w:before="0" w:after="0"/>
        <w:ind w:left="420" w:hanging="420"/>
      </w:pPr>
      <w:r>
        <w:rPr>
          <w:rFonts w:ascii="Times New Roman" w:hAnsi="Times New Roman" w:eastAsia="WenQuanYi Micro Hei"/>
          <w:b w:val="0"/>
          <w:i w:val="0"/>
          <w:sz w:val="24"/>
        </w:rPr>
        <w:t>Ang, L., Lim, S., &amp; Lipponen, L. (2020). Critical reflections of early childhood care and education in Singapore to build an inclusive society. Policy Futures in Education, 18(7). [卷期页码待补]</w:t>
      </w:r>
    </w:p>
    <w:p>
      <w:pPr>
        <w:spacing w:line="480" w:lineRule="auto" w:before="0" w:after="0"/>
        <w:ind w:left="420" w:hanging="420"/>
      </w:pPr>
      <w:r>
        <w:rPr>
          <w:rFonts w:ascii="Times New Roman" w:hAnsi="Times New Roman" w:eastAsia="WenQuanYi Micro Hei"/>
          <w:b w:val="0"/>
          <w:i w:val="0"/>
          <w:sz w:val="24"/>
        </w:rPr>
        <w:t>Badar, S. R. (2016). Developing and evaluating communication supporting classrooms in Brunei primary schools [Doctoral dissertation, University of Sheffield]. White Rose eTheses Online. http://etheses.whiterose.ac.uk/15079/</w:t>
      </w:r>
    </w:p>
    <w:p>
      <w:pPr>
        <w:spacing w:line="480" w:lineRule="auto" w:before="0" w:after="0"/>
        <w:ind w:left="420" w:hanging="420"/>
      </w:pPr>
      <w:r>
        <w:rPr>
          <w:rFonts w:ascii="Times New Roman" w:hAnsi="Times New Roman" w:eastAsia="WenQuanYi Micro Hei"/>
          <w:b w:val="0"/>
          <w:i w:val="0"/>
          <w:sz w:val="24"/>
        </w:rPr>
        <w:t>Hajar, B., et al. (n.d.). Special education (SPED) schools run by voluntary welfare organisations for children with special needs in Singapore. [出版信息待补].</w:t>
      </w:r>
    </w:p>
    <w:p>
      <w:pPr>
        <w:spacing w:line="480" w:lineRule="auto" w:before="0" w:after="0"/>
        <w:ind w:left="420" w:hanging="420"/>
      </w:pPr>
      <w:r>
        <w:rPr>
          <w:rFonts w:ascii="Times New Roman" w:hAnsi="Times New Roman" w:eastAsia="WenQuanYi Micro Hei"/>
          <w:b w:val="0"/>
          <w:i w:val="0"/>
          <w:sz w:val="24"/>
        </w:rPr>
        <w:t>Hussain, I., Jaiswal, A. K., et al. (2026). Analyzing the effectiveness of combined physiotherapy and occupational therapy in improving postural control, daily living skills, and social participation among children with autism and cerebral palsy. International Journal of Innovative Science and Research Technology. [卷期页码待补]</w:t>
      </w:r>
    </w:p>
    <w:p>
      <w:pPr>
        <w:spacing w:line="480" w:lineRule="auto" w:before="0" w:after="0"/>
        <w:ind w:left="420" w:hanging="420"/>
      </w:pPr>
      <w:r>
        <w:rPr>
          <w:rFonts w:ascii="Times New Roman" w:hAnsi="Times New Roman" w:eastAsia="WenQuanYi Micro Hei"/>
          <w:b w:val="0"/>
          <w:i w:val="0"/>
          <w:sz w:val="24"/>
        </w:rPr>
        <w:t>ISEAS–Yusof Ishak Institute. (2019). ASEAN focus (August 2019). https://www.iseas.edu.sg/wp-content/uploads/pdfs/ASEANFocus%20-%20August%202019.pdf</w:t>
      </w:r>
    </w:p>
    <w:p>
      <w:pPr>
        <w:spacing w:line="480" w:lineRule="auto" w:before="0" w:after="0"/>
        <w:ind w:left="420" w:hanging="420"/>
      </w:pPr>
      <w:r>
        <w:rPr>
          <w:rFonts w:ascii="Times New Roman" w:hAnsi="Times New Roman" w:eastAsia="WenQuanYi Micro Hei"/>
          <w:b w:val="0"/>
          <w:i w:val="0"/>
          <w:sz w:val="24"/>
        </w:rPr>
        <w:t>Ismail, A., Abd Razak, R. S., et al. (2022). The economic burden and determinant factors of parents/caregivers of children with cerebral palsy in Malaysia: A mixed methods study. International Journal of Environmental Research and Public Health, 19(7), Article 4383. https://doi.org/10.3390/ijerph19074383</w:t>
      </w:r>
    </w:p>
    <w:p>
      <w:pPr>
        <w:spacing w:line="480" w:lineRule="auto" w:before="0" w:after="0"/>
        <w:ind w:left="420" w:hanging="420"/>
      </w:pPr>
      <w:r>
        <w:rPr>
          <w:rFonts w:ascii="Times New Roman" w:hAnsi="Times New Roman" w:eastAsia="WenQuanYi Micro Hei"/>
          <w:b w:val="0"/>
          <w:i w:val="0"/>
          <w:sz w:val="24"/>
        </w:rPr>
        <w:t>Katsura, R. (2022). Measures for persons with disabilities and vocational rehabilitation in ASEAN countries: From the outline of support for children with intellectual and mental disabilities. Social Science, Humanities and Sustainability Research. [卷期页码待补]</w:t>
      </w:r>
    </w:p>
    <w:p>
      <w:pPr>
        <w:spacing w:line="480" w:lineRule="auto" w:before="0" w:after="0"/>
        <w:ind w:left="420" w:hanging="420"/>
      </w:pPr>
      <w:r>
        <w:rPr>
          <w:rFonts w:ascii="Times New Roman" w:hAnsi="Times New Roman" w:eastAsia="WenQuanYi Micro Hei"/>
          <w:b w:val="0"/>
          <w:i w:val="0"/>
          <w:sz w:val="24"/>
        </w:rPr>
        <w:t>Liang, X. (2013). A probe into the curriculum on “combining medicine and education” in special schools. [出版信息待补].</w:t>
      </w:r>
    </w:p>
    <w:p>
      <w:pPr>
        <w:spacing w:line="480" w:lineRule="auto" w:before="0" w:after="0"/>
        <w:ind w:left="420" w:hanging="420"/>
      </w:pPr>
      <w:r>
        <w:rPr>
          <w:rFonts w:ascii="Times New Roman" w:hAnsi="Times New Roman" w:eastAsia="WenQuanYi Micro Hei"/>
          <w:b w:val="0"/>
          <w:i w:val="0"/>
          <w:sz w:val="24"/>
        </w:rPr>
        <w:t>Lim, B. (2006). Constructing a Malaysian early intervention programme for children with disabilities. [出版信息待补].</w:t>
      </w:r>
    </w:p>
    <w:p>
      <w:pPr>
        <w:spacing w:line="480" w:lineRule="auto" w:before="0" w:after="0"/>
        <w:ind w:left="420" w:hanging="420"/>
      </w:pPr>
      <w:r>
        <w:rPr>
          <w:rFonts w:ascii="Times New Roman" w:hAnsi="Times New Roman" w:eastAsia="WenQuanYi Micro Hei"/>
          <w:b w:val="0"/>
          <w:i w:val="0"/>
          <w:sz w:val="24"/>
        </w:rPr>
        <w:t>Lim, C. H., &amp; Ng Joo Ming, M. (2016). Linking medical and social care. College of Family Physicians Singapore.</w:t>
      </w:r>
    </w:p>
    <w:p>
      <w:pPr>
        <w:spacing w:line="480" w:lineRule="auto" w:before="0" w:after="0"/>
        <w:ind w:left="420" w:hanging="420"/>
      </w:pPr>
      <w:r>
        <w:rPr>
          <w:rFonts w:ascii="Times New Roman" w:hAnsi="Times New Roman" w:eastAsia="WenQuanYi Micro Hei"/>
          <w:b w:val="0"/>
          <w:i w:val="0"/>
          <w:sz w:val="24"/>
        </w:rPr>
        <w:t>Lim, et al. (n.d.). Inclusive healthcare for disability across lifespan: Epidemiology and services. [出版信息待补].</w:t>
      </w:r>
    </w:p>
    <w:p>
      <w:pPr>
        <w:spacing w:line="480" w:lineRule="auto" w:before="0" w:after="0"/>
        <w:ind w:left="420" w:hanging="420"/>
      </w:pPr>
      <w:r>
        <w:rPr>
          <w:rFonts w:ascii="Times New Roman" w:hAnsi="Times New Roman" w:eastAsia="WenQuanYi Micro Hei"/>
          <w:b w:val="0"/>
          <w:i w:val="0"/>
          <w:sz w:val="24"/>
        </w:rPr>
        <w:t>Mah Tjun Lyn, J., et al. (n.d.). Roles and responsibilities of general and special needs educators toward supporting transitions into primary inclusive classrooms in Malaysia: A conceptual framework. [出版信息待补].</w:t>
      </w:r>
    </w:p>
    <w:p>
      <w:pPr>
        <w:spacing w:line="480" w:lineRule="auto" w:before="0" w:after="0"/>
        <w:ind w:left="420" w:hanging="420"/>
      </w:pPr>
      <w:r>
        <w:rPr>
          <w:rFonts w:ascii="Times New Roman" w:hAnsi="Times New Roman" w:eastAsia="WenQuanYi Micro Hei"/>
          <w:b w:val="0"/>
          <w:i w:val="0"/>
          <w:sz w:val="24"/>
        </w:rPr>
        <w:t>Ministry of Education, Singapore. (n.d.). Financial assistance scheme (FAS). https://www.moe.gov.sg/financial-matters/financial-assistance</w:t>
      </w:r>
    </w:p>
    <w:p>
      <w:pPr>
        <w:spacing w:line="480" w:lineRule="auto" w:before="0" w:after="0"/>
        <w:ind w:left="420" w:hanging="420"/>
      </w:pPr>
      <w:r>
        <w:rPr>
          <w:rFonts w:ascii="Times New Roman" w:hAnsi="Times New Roman" w:eastAsia="WenQuanYi Micro Hei"/>
          <w:b w:val="0"/>
          <w:i w:val="0"/>
          <w:sz w:val="24"/>
        </w:rPr>
        <w:t>Ministry of Health, Singapore. (2024). MediShield Life. https://www.moh.gov.sg/financing-healthcare/medishield-life</w:t>
      </w:r>
    </w:p>
    <w:p>
      <w:pPr>
        <w:spacing w:line="480" w:lineRule="auto" w:before="0" w:after="0"/>
        <w:ind w:left="420" w:hanging="420"/>
      </w:pPr>
      <w:r>
        <w:rPr>
          <w:rFonts w:ascii="Times New Roman" w:hAnsi="Times New Roman" w:eastAsia="WenQuanYi Micro Hei"/>
          <w:b w:val="0"/>
          <w:i w:val="0"/>
          <w:sz w:val="24"/>
        </w:rPr>
        <w:t>Ministry of Women, Family and Community Development, Malaysia. (2007). National policy for persons with disabilities. https://www.jkm.gov.my/jkm/uploads/files/PPOKU.pdf</w:t>
      </w:r>
    </w:p>
    <w:p>
      <w:pPr>
        <w:spacing w:line="480" w:lineRule="auto" w:before="0" w:after="0"/>
        <w:ind w:left="420" w:hanging="420"/>
      </w:pPr>
      <w:r>
        <w:rPr>
          <w:rFonts w:ascii="Times New Roman" w:hAnsi="Times New Roman" w:eastAsia="WenQuanYi Micro Hei"/>
          <w:b w:val="0"/>
          <w:i w:val="0"/>
          <w:sz w:val="24"/>
        </w:rPr>
        <w:t>Mokhtar, S., &amp; Abd Jalil, L. (2016). Dental status and treatment needs of special needs children in Negeri Sembilan, Malaysia. World Journal of Research and Review. [卷期页码待补]</w:t>
      </w:r>
    </w:p>
    <w:p>
      <w:pPr>
        <w:spacing w:line="480" w:lineRule="auto" w:before="0" w:after="0"/>
        <w:ind w:left="420" w:hanging="420"/>
      </w:pPr>
      <w:r>
        <w:rPr>
          <w:rFonts w:ascii="Times New Roman" w:hAnsi="Times New Roman" w:eastAsia="WenQuanYi Micro Hei"/>
          <w:b w:val="0"/>
          <w:i w:val="0"/>
          <w:sz w:val="24"/>
        </w:rPr>
        <w:t>Mohd Ghazali, N. H., et al. (n.d.). Enhancing higher education opportunities for special needs students in Malaysia: A case study. [出版信息待补].</w:t>
      </w:r>
    </w:p>
    <w:p>
      <w:pPr>
        <w:spacing w:line="480" w:lineRule="auto" w:before="0" w:after="0"/>
        <w:ind w:left="420" w:hanging="420"/>
      </w:pPr>
      <w:r>
        <w:rPr>
          <w:rFonts w:ascii="Times New Roman" w:hAnsi="Times New Roman" w:eastAsia="WenQuanYi Micro Hei"/>
          <w:b w:val="0"/>
          <w:i w:val="0"/>
          <w:sz w:val="24"/>
        </w:rPr>
        <w:t>Mohd Nor, N., et al. (n.d.). School management concerning collaboration with social resources in the community: Its approaches and problem. [出版信息待补].</w:t>
      </w:r>
    </w:p>
    <w:p>
      <w:pPr>
        <w:spacing w:line="480" w:lineRule="auto" w:before="0" w:after="0"/>
        <w:ind w:left="420" w:hanging="420"/>
      </w:pPr>
      <w:r>
        <w:rPr>
          <w:rFonts w:ascii="Times New Roman" w:hAnsi="Times New Roman" w:eastAsia="WenQuanYi Micro Hei"/>
          <w:b w:val="0"/>
          <w:i w:val="0"/>
          <w:sz w:val="24"/>
        </w:rPr>
        <w:t>Pocock, N. S., &amp; Phua, K. H. (2011). Medical tourism and policy implications for health systems: A conceptual framework from a comparative study of Thailand, Singapore and Malaysia. Globalization and Health, 7, Article 40. https://doi.org/10.1186/1744-8603-7-40</w:t>
      </w:r>
    </w:p>
    <w:p>
      <w:pPr>
        <w:spacing w:line="480" w:lineRule="auto" w:before="0" w:after="0"/>
        <w:ind w:left="420" w:hanging="420"/>
      </w:pPr>
      <w:r>
        <w:rPr>
          <w:rFonts w:ascii="Times New Roman" w:hAnsi="Times New Roman" w:eastAsia="WenQuanYi Micro Hei"/>
          <w:b w:val="0"/>
          <w:i w:val="0"/>
          <w:sz w:val="24"/>
        </w:rPr>
        <w:t>Quah, M. L. (1990). Special education in Singapore: Structure, organization and teacher training. National Institute of Education.</w:t>
      </w:r>
    </w:p>
    <w:p>
      <w:pPr>
        <w:spacing w:line="480" w:lineRule="auto" w:before="0" w:after="0"/>
        <w:ind w:left="420" w:hanging="420"/>
      </w:pPr>
      <w:r>
        <w:rPr>
          <w:rFonts w:ascii="Times New Roman" w:hAnsi="Times New Roman" w:eastAsia="WenQuanYi Micro Hei"/>
          <w:b w:val="0"/>
          <w:i w:val="0"/>
          <w:sz w:val="24"/>
        </w:rPr>
        <w:t>Saman, H. A. B. H. (1990). The development of modern education in Negara Brunei Darussalam with special reference to provision for the disabled [Doctoral dissertation, Durham University].</w:t>
      </w:r>
    </w:p>
    <w:p>
      <w:pPr>
        <w:spacing w:line="480" w:lineRule="auto" w:before="0" w:after="0"/>
        <w:ind w:left="420" w:hanging="420"/>
      </w:pPr>
      <w:r>
        <w:rPr>
          <w:rFonts w:ascii="Times New Roman" w:hAnsi="Times New Roman" w:eastAsia="WenQuanYi Micro Hei"/>
          <w:b w:val="0"/>
          <w:i w:val="0"/>
          <w:sz w:val="24"/>
        </w:rPr>
        <w:t>Sarrazin, F. (2014). Coordinating schooling, care and rehabilitation [Coordonner scolarité, soins et rééducation]. Soins; La Revue de Référence Infirmière, 59(786). [页码待补]</w:t>
      </w:r>
    </w:p>
    <w:p>
      <w:pPr>
        <w:spacing w:line="480" w:lineRule="auto" w:before="0" w:after="0"/>
        <w:ind w:left="420" w:hanging="420"/>
      </w:pPr>
      <w:r>
        <w:rPr>
          <w:rFonts w:ascii="Times New Roman" w:hAnsi="Times New Roman" w:eastAsia="WenQuanYi Micro Hei"/>
          <w:b w:val="0"/>
          <w:i w:val="0"/>
          <w:sz w:val="24"/>
        </w:rPr>
        <w:t>Siva Subramanian a/l A. R. Nair. (2015). Accountability, Vedic &amp; Schumacher’s philosophy and autoethnography: An advocation for tax relief for sibling caregivers in Malaysia [学位论文, University of Malaya]. UM Students’ Repository.</w:t>
      </w:r>
    </w:p>
    <w:p>
      <w:pPr>
        <w:spacing w:line="480" w:lineRule="auto" w:before="0" w:after="0"/>
        <w:ind w:left="420" w:hanging="420"/>
      </w:pPr>
      <w:r>
        <w:rPr>
          <w:rFonts w:ascii="Times New Roman" w:hAnsi="Times New Roman" w:eastAsia="WenQuanYi Micro Hei"/>
          <w:b w:val="0"/>
          <w:i w:val="0"/>
          <w:sz w:val="24"/>
        </w:rPr>
        <w:t>Sun, A. (2012). An investigation into the combination of special education and medicine in Shanghai. Chinese Journal of Special Education. [卷期页码待补]</w:t>
      </w:r>
    </w:p>
    <w:p>
      <w:pPr>
        <w:spacing w:line="480" w:lineRule="auto" w:before="0" w:after="0"/>
        <w:ind w:left="420" w:hanging="420"/>
      </w:pPr>
      <w:r>
        <w:rPr>
          <w:rFonts w:ascii="Times New Roman" w:hAnsi="Times New Roman" w:eastAsia="WenQuanYi Micro Hei"/>
          <w:b w:val="0"/>
          <w:i w:val="0"/>
          <w:sz w:val="24"/>
        </w:rPr>
        <w:t>Tang, H. W. (2019). Financial planning mechanisms available to persons with special needs in Singapore [Doctoral dissertation, Singapore Management University].</w:t>
      </w:r>
    </w:p>
    <w:p>
      <w:pPr>
        <w:spacing w:line="480" w:lineRule="auto" w:before="0" w:after="0"/>
        <w:ind w:left="420" w:hanging="420"/>
      </w:pPr>
      <w:r>
        <w:rPr>
          <w:rFonts w:ascii="Times New Roman" w:hAnsi="Times New Roman" w:eastAsia="WenQuanYi Micro Hei"/>
          <w:b w:val="0"/>
          <w:i w:val="0"/>
          <w:sz w:val="24"/>
        </w:rPr>
        <w:t>Tchibozo, G. (2012). Some research directions ahead. National Academic Digital Library of Ethiopia.</w:t>
      </w:r>
    </w:p>
    <w:p>
      <w:pPr>
        <w:spacing w:line="480" w:lineRule="auto" w:before="0" w:after="0"/>
        <w:ind w:left="420" w:hanging="420"/>
      </w:pPr>
      <w:r>
        <w:rPr>
          <w:rFonts w:ascii="Times New Roman" w:hAnsi="Times New Roman" w:eastAsia="WenQuanYi Micro Hei"/>
          <w:b w:val="0"/>
          <w:i w:val="0"/>
          <w:sz w:val="24"/>
        </w:rPr>
        <w:t>Yip, W., Hsiao, W., et al. (2012). Early appraisal of China’s huge and complex health-care reforms. The Lancet, 379(9818), 833–842. https://doi.org/10.1016/S0140-6736(11)61880-1</w:t>
      </w:r>
    </w:p>
    <w:p>
      <w:pPr>
        <w:spacing w:line="480" w:lineRule="auto" w:before="0" w:after="0"/>
        <w:ind w:left="420" w:hanging="420"/>
      </w:pPr>
      <w:r>
        <w:rPr>
          <w:rFonts w:ascii="Times New Roman" w:hAnsi="Times New Roman" w:eastAsia="WenQuanYi Micro Hei"/>
          <w:b w:val="0"/>
          <w:i w:val="0"/>
          <w:sz w:val="24"/>
        </w:rPr>
        <w:t>《ABA行为分析联合认知神经与语言训练对自闭症患儿语言恢复的干预效果分析》. (2025). 黑龙江医药科学. [作者与卷期页码待补]</w:t>
      </w:r>
    </w:p>
    <w:p>
      <w:pPr>
        <w:spacing w:line="480" w:lineRule="auto" w:before="0" w:after="0"/>
        <w:ind w:left="420" w:hanging="420"/>
      </w:pPr>
      <w:r>
        <w:rPr>
          <w:rFonts w:ascii="Times New Roman" w:hAnsi="Times New Roman" w:eastAsia="WenQuanYi Micro Hei"/>
          <w:b w:val="0"/>
          <w:i w:val="0"/>
          <w:sz w:val="24"/>
        </w:rPr>
        <w:t>陈文华, 燕铁斌. (2022). 《中国康复治疗师岗位标准编制指南》专家共识. 中国康复医学杂志, 37(1), 10–13. https://doi.org/10.3969/j.issn.1001-1242.2022.01.003</w:t>
      </w:r>
    </w:p>
    <w:p>
      <w:pPr>
        <w:spacing w:line="480" w:lineRule="auto" w:before="0" w:after="0"/>
        <w:ind w:left="420" w:hanging="420"/>
      </w:pPr>
      <w:r>
        <w:rPr>
          <w:rFonts w:ascii="Times New Roman" w:hAnsi="Times New Roman" w:eastAsia="WenQuanYi Micro Hei"/>
          <w:b w:val="0"/>
          <w:i w:val="0"/>
          <w:sz w:val="24"/>
        </w:rPr>
        <w:t>陈影, 雷江华. (2017). 我国特殊需要学生转衔研究综述. 现代特殊教育, (6), 30–37.</w:t>
      </w:r>
    </w:p>
    <w:p>
      <w:pPr>
        <w:spacing w:line="480" w:lineRule="auto" w:before="0" w:after="0"/>
        <w:ind w:left="420" w:hanging="420"/>
      </w:pPr>
      <w:r>
        <w:rPr>
          <w:rFonts w:ascii="Times New Roman" w:hAnsi="Times New Roman" w:eastAsia="WenQuanYi Micro Hei"/>
          <w:b w:val="0"/>
          <w:i w:val="0"/>
          <w:sz w:val="24"/>
        </w:rPr>
        <w:t>杜海燕, 顾力宏. (2013). 坚持康教结合 完善技术规范. 社会福利. [卷期页码待补]</w:t>
      </w:r>
    </w:p>
    <w:p>
      <w:pPr>
        <w:spacing w:line="480" w:lineRule="auto" w:before="0" w:after="0"/>
        <w:ind w:left="420" w:hanging="420"/>
      </w:pPr>
      <w:r>
        <w:rPr>
          <w:rFonts w:ascii="Times New Roman" w:hAnsi="Times New Roman" w:eastAsia="WenQuanYi Micro Hei"/>
          <w:b w:val="0"/>
          <w:i w:val="0"/>
          <w:sz w:val="24"/>
        </w:rPr>
        <w:t>高晶. (2015). 特殊教育学校开展医教结合的实践与认识. 生活教育. [卷期页码待补]</w:t>
      </w:r>
    </w:p>
    <w:p>
      <w:pPr>
        <w:spacing w:line="480" w:lineRule="auto" w:before="0" w:after="0"/>
        <w:ind w:left="420" w:hanging="420"/>
      </w:pPr>
      <w:r>
        <w:rPr>
          <w:rFonts w:ascii="Times New Roman" w:hAnsi="Times New Roman" w:eastAsia="WenQuanYi Micro Hei"/>
          <w:b w:val="0"/>
          <w:i w:val="0"/>
          <w:sz w:val="24"/>
        </w:rPr>
        <w:t>国务院办公厅. (2014). 国务院办公厅关于转发教育部等部门特殊教育提升计划（2014—2016年）的通知 (国办发〔2014〕1号). https://www.moe.gov.cn/jyb_xxgk/moe_1777/moe_1778/201401/t20140120_162822.html</w:t>
      </w:r>
    </w:p>
    <w:p>
      <w:pPr>
        <w:spacing w:line="480" w:lineRule="auto" w:before="0" w:after="0"/>
        <w:ind w:left="420" w:hanging="420"/>
      </w:pPr>
      <w:r>
        <w:rPr>
          <w:rFonts w:ascii="Times New Roman" w:hAnsi="Times New Roman" w:eastAsia="WenQuanYi Micro Hei"/>
          <w:b w:val="0"/>
          <w:i w:val="0"/>
          <w:sz w:val="24"/>
        </w:rPr>
        <w:t>中华人民共和国国务院. (2018). 国务院关于建立残疾儿童康复救助制度的意见 (国发〔2018〕20号). https://www.gov.cn/zhengce/content/2018-07/10/content_5305296.htm</w:t>
      </w:r>
    </w:p>
    <w:p>
      <w:pPr>
        <w:spacing w:line="480" w:lineRule="auto" w:before="0" w:after="0"/>
        <w:ind w:left="420" w:hanging="420"/>
      </w:pPr>
      <w:r>
        <w:rPr>
          <w:rFonts w:ascii="Times New Roman" w:hAnsi="Times New Roman" w:eastAsia="WenQuanYi Micro Hei"/>
          <w:b w:val="0"/>
          <w:i w:val="0"/>
          <w:sz w:val="24"/>
        </w:rPr>
        <w:t>李俊强. (2019). 特殊教育“医教结合”课程模式的整体构建与实践创新. 2019年第四届特殊教育华山论剑暨中国心理卫生协会残疾人心理卫生分会特殊教育专业委员会年会论文集. [页码待补]</w:t>
      </w:r>
    </w:p>
    <w:p>
      <w:pPr>
        <w:spacing w:line="480" w:lineRule="auto" w:before="0" w:after="0"/>
        <w:ind w:left="420" w:hanging="420"/>
      </w:pPr>
      <w:r>
        <w:rPr>
          <w:rFonts w:ascii="Times New Roman" w:hAnsi="Times New Roman" w:eastAsia="WenQuanYi Micro Hei"/>
          <w:b w:val="0"/>
          <w:i w:val="0"/>
          <w:sz w:val="24"/>
        </w:rPr>
        <w:t>李伟玉, 谢桂华. (n.d.). 制造“专家”：儿童注意力训练机构的形象塑造. 中国青年社会科学. [年份与卷期页码待补]</w:t>
      </w:r>
    </w:p>
    <w:p>
      <w:pPr>
        <w:spacing w:line="480" w:lineRule="auto" w:before="0" w:after="0"/>
        <w:ind w:left="420" w:hanging="420"/>
      </w:pPr>
      <w:r>
        <w:rPr>
          <w:rFonts w:ascii="Times New Roman" w:hAnsi="Times New Roman" w:eastAsia="WenQuanYi Micro Hei"/>
          <w:b w:val="0"/>
          <w:i w:val="0"/>
          <w:sz w:val="24"/>
        </w:rPr>
        <w:t>李雯. (n.d.). 浅谈个别化教育计划的制订与实施. [出版信息待补].</w:t>
      </w:r>
    </w:p>
    <w:p>
      <w:pPr>
        <w:spacing w:line="480" w:lineRule="auto" w:before="0" w:after="0"/>
        <w:ind w:left="420" w:hanging="420"/>
      </w:pPr>
      <w:r>
        <w:rPr>
          <w:rFonts w:ascii="Times New Roman" w:hAnsi="Times New Roman" w:eastAsia="WenQuanYi Micro Hei"/>
          <w:b w:val="0"/>
          <w:i w:val="0"/>
          <w:sz w:val="24"/>
        </w:rPr>
        <w:t>李秀丽, 王贵玲, 冀京雷, 窦丽辉. (2025). 鼠神经生长因子联合核心稳定性训练治疗脑瘫患儿临床评价. 中国药业, 34(18), 96–99. https://doi.org/10.3969/j.issn.1006-4931.2025.18.021</w:t>
      </w:r>
    </w:p>
    <w:p>
      <w:pPr>
        <w:spacing w:line="480" w:lineRule="auto" w:before="0" w:after="0"/>
        <w:ind w:left="420" w:hanging="420"/>
      </w:pPr>
      <w:r>
        <w:rPr>
          <w:rFonts w:ascii="Times New Roman" w:hAnsi="Times New Roman" w:eastAsia="WenQuanYi Micro Hei"/>
          <w:b w:val="0"/>
          <w:i w:val="0"/>
          <w:sz w:val="24"/>
        </w:rPr>
        <w:t>刘金霞. (2017). “医教结合”的实践经验. 现代特殊教育. [卷期页码待补]</w:t>
      </w:r>
    </w:p>
    <w:p>
      <w:pPr>
        <w:spacing w:line="480" w:lineRule="auto" w:before="0" w:after="0"/>
        <w:ind w:left="420" w:hanging="420"/>
      </w:pPr>
      <w:r>
        <w:rPr>
          <w:rFonts w:ascii="Times New Roman" w:hAnsi="Times New Roman" w:eastAsia="WenQuanYi Micro Hei"/>
          <w:b w:val="0"/>
          <w:i w:val="0"/>
          <w:sz w:val="24"/>
        </w:rPr>
        <w:t>欧吉祥, 赵娜. (n.d.). 新加坡特殊教育的实施路径、特征及启示. [出版信息待补].</w:t>
      </w:r>
    </w:p>
    <w:p>
      <w:pPr>
        <w:spacing w:line="480" w:lineRule="auto" w:before="0" w:after="0"/>
        <w:ind w:left="420" w:hanging="420"/>
      </w:pPr>
      <w:r>
        <w:rPr>
          <w:rFonts w:ascii="Times New Roman" w:hAnsi="Times New Roman" w:eastAsia="WenQuanYi Micro Hei"/>
          <w:b w:val="0"/>
          <w:i w:val="0"/>
          <w:sz w:val="24"/>
        </w:rPr>
        <w:t>盛永进. (2015). 个别化教育计划的撰写. 现代特殊教育. [卷期页码待补]</w:t>
      </w:r>
    </w:p>
    <w:p>
      <w:pPr>
        <w:spacing w:line="480" w:lineRule="auto" w:before="0" w:after="0"/>
        <w:ind w:left="420" w:hanging="420"/>
      </w:pPr>
      <w:r>
        <w:rPr>
          <w:rFonts w:ascii="Times New Roman" w:hAnsi="Times New Roman" w:eastAsia="WenQuanYi Micro Hei"/>
          <w:b w:val="0"/>
          <w:i w:val="0"/>
          <w:sz w:val="24"/>
        </w:rPr>
        <w:t>沈晓明. (2012). 我为什么提出特殊教育“医教结合”的理念. 上海教育. [卷期页码待补]</w:t>
      </w:r>
    </w:p>
    <w:p>
      <w:pPr>
        <w:spacing w:line="480" w:lineRule="auto" w:before="0" w:after="0"/>
        <w:ind w:left="420" w:hanging="420"/>
      </w:pPr>
      <w:r>
        <w:rPr>
          <w:rFonts w:ascii="Times New Roman" w:hAnsi="Times New Roman" w:eastAsia="WenQuanYi Micro Hei"/>
          <w:b w:val="0"/>
          <w:i w:val="0"/>
          <w:sz w:val="24"/>
        </w:rPr>
        <w:t>许小燕. (2015). 市域特殊教育“医教结合”模式实践研究——以江苏省南通市为例. 绥化学院学报, 35(7), 122–127.</w:t>
      </w:r>
    </w:p>
    <w:p>
      <w:pPr>
        <w:spacing w:line="480" w:lineRule="auto" w:before="0" w:after="0"/>
        <w:ind w:left="420" w:hanging="420"/>
      </w:pPr>
      <w:r>
        <w:rPr>
          <w:rFonts w:ascii="Times New Roman" w:hAnsi="Times New Roman" w:eastAsia="WenQuanYi Micro Hei"/>
          <w:b w:val="0"/>
          <w:i w:val="0"/>
          <w:sz w:val="24"/>
        </w:rPr>
        <w:t>杨立雄, 韦文高. (2024). 中国康复服务保障政策及支付体系研究. 残疾人研究, (1), 11–23.</w:t>
      </w:r>
    </w:p>
    <w:p>
      <w:pPr>
        <w:spacing w:line="480" w:lineRule="auto" w:before="0" w:after="0"/>
        <w:ind w:left="420" w:hanging="420"/>
      </w:pPr>
      <w:r>
        <w:rPr>
          <w:rFonts w:ascii="Times New Roman" w:hAnsi="Times New Roman" w:eastAsia="WenQuanYi Micro Hei"/>
          <w:b w:val="0"/>
          <w:i w:val="0"/>
          <w:sz w:val="24"/>
        </w:rPr>
        <w:t>于素红. (n.d.). 新课程背景下特殊学生个别化教育计划的制定. [出版信息待补].</w:t>
      </w:r>
    </w:p>
    <w:p>
      <w:pPr>
        <w:spacing w:line="480" w:lineRule="auto" w:before="0" w:after="0"/>
        <w:ind w:left="420" w:hanging="420"/>
      </w:pPr>
      <w:r>
        <w:rPr>
          <w:rFonts w:ascii="Times New Roman" w:hAnsi="Times New Roman" w:eastAsia="WenQuanYi Micro Hei"/>
          <w:b w:val="0"/>
          <w:i w:val="0"/>
          <w:sz w:val="24"/>
        </w:rPr>
        <w:t>袁广西, 傅强. (2024). 新加坡中等职业教育改革和发展研究——兼谈对山东省高水平中等职业学校建设的启示 [政策分析论文]. 新加坡国立教育学院机构知识库. https://repository.nie.edu.sg/entities/publication/6deb5a3b-81eb-411e-92be-c2a52bf640c3</w:t>
      </w:r>
    </w:p>
    <w:p>
      <w:pPr>
        <w:spacing w:line="480" w:lineRule="auto" w:before="0" w:after="0"/>
        <w:ind w:left="420" w:hanging="420"/>
      </w:pPr>
      <w:r>
        <w:rPr>
          <w:rFonts w:ascii="Times New Roman" w:hAnsi="Times New Roman" w:eastAsia="WenQuanYi Micro Hei"/>
          <w:b w:val="0"/>
          <w:i w:val="0"/>
          <w:sz w:val="24"/>
        </w:rPr>
        <w:t>张峰. (2017). 苯海索联合物理治疗对脑瘫患儿肌张力障碍治疗效果的临床研究 [硕士学位论文]. 南昌大学.</w:t>
      </w:r>
    </w:p>
    <w:p>
      <w:pPr>
        <w:spacing w:line="480" w:lineRule="auto" w:before="0" w:after="0"/>
        <w:ind w:left="420" w:hanging="420"/>
      </w:pPr>
      <w:r>
        <w:rPr>
          <w:rFonts w:ascii="Times New Roman" w:hAnsi="Times New Roman" w:eastAsia="WenQuanYi Micro Hei"/>
          <w:b w:val="0"/>
          <w:i w:val="0"/>
          <w:sz w:val="24"/>
        </w:rPr>
        <w:t>张江丽, 刘东凯, 徐添喜. (2025). 中美特殊学生中学后转衔评估工具的比较与启示. 现代特殊教育. [卷期页码待补]</w:t>
      </w:r>
    </w:p>
    <w:p>
      <w:pPr>
        <w:spacing w:line="480" w:lineRule="auto" w:before="0" w:after="0"/>
        <w:ind w:left="420" w:hanging="420"/>
      </w:pPr>
      <w:r>
        <w:rPr>
          <w:rFonts w:ascii="Times New Roman" w:hAnsi="Times New Roman" w:eastAsia="WenQuanYi Micro Hei"/>
          <w:b w:val="0"/>
          <w:i w:val="0"/>
          <w:sz w:val="24"/>
        </w:rPr>
        <w:t>赵秀云. (n.d.). 标准成本法下辅助生产费用的核算. [出版信息待补].</w:t>
      </w:r>
    </w:p>
    <w:p>
      <w:pPr>
        <w:spacing w:line="480" w:lineRule="auto" w:before="0" w:after="0"/>
        <w:ind w:left="420" w:hanging="420"/>
      </w:pPr>
      <w:r>
        <w:rPr>
          <w:rFonts w:ascii="Times New Roman" w:hAnsi="Times New Roman" w:eastAsia="WenQuanYi Micro Hei"/>
          <w:b w:val="0"/>
          <w:i w:val="0"/>
          <w:sz w:val="24"/>
        </w:rPr>
        <w:t>中国妇幼保健协会儿童自闭症防治专委会, 《中国儿童保健杂志》编委会. (2025). 孤独症谱系障碍防治三级网络规范化建设专家共识. 中国儿童保健杂志, 33(6), 581–589. https://doi.org/10.11852/zgetbjzz2025-0272</w:t>
      </w:r>
    </w:p>
    <w:p>
      <w:pPr>
        <w:spacing w:line="480" w:lineRule="auto" w:before="0" w:after="0"/>
        <w:ind w:left="420" w:hanging="420"/>
      </w:pPr>
      <w:r>
        <w:rPr>
          <w:rFonts w:ascii="Times New Roman" w:hAnsi="Times New Roman" w:eastAsia="WenQuanYi Micro Hei"/>
          <w:b w:val="0"/>
          <w:i w:val="0"/>
          <w:sz w:val="24"/>
        </w:rPr>
        <w:t>钟明生, 李希, 张思文, 游晏平, 张鸣鹤, 吴天宇. (2025). “脑肠轴”理论针刺在孤独症谱系障碍儿童言语社交障碍、异常行为的临床研究. 海南医学, (19). https://doi.org/10.3969/j.issn.1003-6350.2025.19.013</w:t>
      </w:r>
    </w:p>
    <w:p>
      <w:pPr>
        <w:spacing w:line="480" w:lineRule="auto" w:before="0" w:after="0"/>
        <w:ind w:left="420" w:hanging="420"/>
      </w:pPr>
      <w:r>
        <w:rPr>
          <w:rFonts w:ascii="Times New Roman" w:hAnsi="Times New Roman" w:eastAsia="WenQuanYi Micro Hei"/>
          <w:b w:val="0"/>
          <w:i w:val="0"/>
          <w:sz w:val="24"/>
        </w:rPr>
        <w:t>龔雅雯, 王泓翔, 張素惠. (2015). 新加坡職業教育及訓練發展現況與策略之探討. 技術及職業教育學報, 6(2), 17–42.</w:t>
      </w:r>
    </w:p>
    <w:p>
      <w:pPr>
        <w:spacing w:line="480" w:lineRule="auto" w:before="0" w:after="0"/>
        <w:ind w:left="420" w:hanging="420"/>
      </w:pPr>
      <w:r>
        <w:rPr>
          <w:rFonts w:ascii="Times New Roman" w:hAnsi="Times New Roman" w:eastAsia="WenQuanYi Micro Hei"/>
          <w:b w:val="0"/>
          <w:i w:val="0"/>
          <w:sz w:val="24"/>
        </w:rPr>
        <w:t>《职业转衔需求下专业技能检核表的编制与实施》. (2019). 科学咨询(科技·管理). [作者与卷期页码待补]</w:t>
      </w:r>
    </w:p>
    <w:p>
      <w:pPr>
        <w:spacing w:line="480" w:lineRule="auto" w:before="0" w:after="0"/>
        <w:ind w:left="420" w:hanging="420"/>
      </w:pPr>
      <w:r>
        <w:rPr>
          <w:rFonts w:ascii="Times New Roman" w:hAnsi="Times New Roman" w:eastAsia="WenQuanYi Micro Hei"/>
          <w:b w:val="0"/>
          <w:i w:val="0"/>
          <w:sz w:val="24"/>
        </w:rPr>
        <w:t>佐野竜平, 加藤拓馬, 長谷明日香. (n.d.). 東南アジアにおける発達障害者に対する保健政策の現状と課題【仮訳】[东南亚地区发育障碍者保健政策的现状与课题（试译）]. [出版信息待补].</w:t>
      </w:r>
    </w:p>
    <w:sectPr w:rsidR="00FC693F" w:rsidRPr="0006063C" w:rsidSect="00034616">
      <w:headerReference w:type="default" r:id="rId9"/>
      <w:pgSz w:w="11906" w:h="16838"/>
      <w:pgMar w:top="1440" w:right="1701" w:bottom="1440"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504" w:val="right"/>
      </w:tabs>
      <w:spacing w:line="240" w:lineRule="auto"/>
      <w:jc w:val="left"/>
    </w:pPr>
    <w:r>
      <w:rPr>
        <w:rFonts w:ascii="Times New Roman" w:hAnsi="Times New Roman" w:eastAsia="WenQuanYi Micro Hei"/>
        <w:b w:val="0"/>
        <w:i w:val="0"/>
        <w:sz w:val="21"/>
      </w:rPr>
      <w:t>东南亚特殊教育与康复结合研究</w:t>
      <w:tab/>
    </w:r>
    <w:fldSimple w:instr="PAGE">
      <w:r>
        <w:rPr>
          <w:sz w:val="21"/>
        </w:rPr>
        <w:t>1</w:t>
      </w:r>
    </w:fldSimple>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480" w:lineRule="auto" w:after="0"/>
    </w:pPr>
    <w:rPr>
      <w:rFonts w:ascii="Times New Roman" w:hAnsi="Times New Roman" w:eastAsia="WenQuanYi Micro Hei"/>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{"Label":"1","ContentProducer":"001191440300708461136T1WFUO","ProduceID":"3aed531020e866e86f875c782d2537ad-ObWD","ReservedCode1":"{\"Type\":\" TC260PG\",\"Version\":1,\"Bindings\":[{\"Type\":\"soft\",\"AlgID\":\"sm3\",\"Value\":\"e51e187015f19e371a0a6c7d848a7a1c61d82542657544920174694b57d1d229\"},{\"Type\":\"hash\",\"AlgID\":\"sm3\",\"Value\":\"63968d6461855189229c17aa28d56dee79dcd3d88d525dd83f9c38cf556b0c70\"}],\"PubSD\":[{\"Type\":\"DS\",\"AlgID\":\"sm2\",\"TBSData\":{\"Type\":\"Binding\",\"BType\":\"hash\"},\"Signature\":\"3045022047579ca9a94e87d6270844c90ccecab161fa399a79b6b84713af05ec869641f70221008667cf4ccd70d01d06f51875891b89008c9c76b296f7ab6c283b4cb957bb1f9b\"},{\"Type\":\"PubKey\",\"AlgID\":\"sm2\",\"KeyValue\":\"0407f79b28a17a752b3aae4305c98b48978213832729a2571850b1310b2bc9fe8fee039ccf25ebfeac27502414d9fcef792d777183c98893d226171c2f7a3289a2\"}],\"Extension\":{\"Timestamp\":1789480828,\"KeyVersion\":\"v1-TxLeOmf7bqU223\"}}","ContentPropagator":"001191440300708461136T1WFUO","PropagateID":"3aed531020e866e86f875c782d2537ad-ObWD","ReservedCode2":"{\"Type\":\" TC260PG\",\"Version\":1,\"Bindings\":[{\"Type\":\"soft\",\"AlgID\":\"sm3\",\"Value\":\"e51e187015f19e371a0a6c7d848a7a1c61d82542657544920174694b57d1d229\"},{\"Type\":\"hash\",\"AlgID\":\"sm3\",\"Value\":\"63968d6461855189229c17aa28d56dee79dcd3d88d525dd83f9c38cf556b0c70\"}],\"PubSD\":[{\"Type\":\"DS\",\"AlgID\":\"sm2\",\"TBSData\":{\"Type\":\"Binding\",\"BType\":\"hash\"},\"Signature\":\"30450221008bc6b9da5f0f5f5a45f11c53749ce673c7fb14eea5f2e8b1e675615203193e9e02200add29d6206261abaef7da79212972d72009687170f76b16a65386f70b4319f7\"},{\"Type\":\"PubKey\",\"AlgID\":\"sm2\",\"KeyValue\":\"0407f79b28a17a752b3aae4305c98b48978213832729a2571850b1310b2bc9fe8fee039ccf25ebfeac27502414d9fcef792d777183c98893d226171c2f7a3289a2\"}],\"Extension\":{\"Timestamp\":1789480828,\"KeyVersion\":\"v1-TxLeOmf7bqU223\"}}"}</vt:lpwstr>
  </property>
</Properties>
</file>