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Reasons for Intra-Coalition Competition and the Political Status of Chinese Malaysians</w:t>
      </w:r>
    </w:p>
    <w:p>
      <w:pPr>
        <w:pStyle w:val="Heading1"/>
      </w:pPr>
      <w:r>
        <w:t xml:space="preserve">Reasons for Intra-Coalition Competition and the Political Status of Chinese Malaysians</w:t>
      </w:r>
    </w:p>
    <w:p>
      <w:pPr>
        <w:pStyle w:val="Heading2"/>
      </w:pPr>
      <w:r>
        <w:t xml:space="preserve">1. Reasons for Competition within the Unity Government</w:t>
      </w:r>
    </w:p>
    <w:p>
      <w:pPr>
        <w:pStyle w:val="text"/>
      </w:pPr>
      <w:r>
        <w:t xml:space="preserve">Malaysia’s current Unity Government is formed by multiple political coalitions, mainly Pakatan Harapan (PH), Barisan Nasional (BN), Gabungan Parti Sarawak (GPS), and Gabungan Rakyat Sabah (GRS). Although these parties cooperate closely at the </w:t>
      </w:r>
      <w:r>
        <w:rPr>
          <w:b/>
          <w:bCs/>
        </w:rPr>
        <w:t xml:space="preserve">federal level</w:t>
      </w:r>
      <w:r>
        <w:t xml:space="preserve"> to maintain national governance and parliamentary majority, they frequently compete fiercely against one another during </w:t>
      </w:r>
      <w:r>
        <w:rPr>
          <w:b/>
          <w:bCs/>
        </w:rPr>
        <w:t xml:space="preserve">state-level elections</w:t>
      </w:r>
      <w:r>
        <w:t xml:space="preserve">. This unique political contradiction occurs for several structural reasons.</w:t>
      </w:r>
    </w:p>
    <w:p>
      <w:pPr>
        <w:pStyle w:val="text"/>
      </w:pPr>
      <w:r>
        <w:t xml:space="preserve">First, the Unity Government is essentially a </w:t>
      </w:r>
      <w:r>
        <w:rPr>
          <w:b/>
          <w:bCs/>
        </w:rPr>
        <w:t xml:space="preserve">political compromise</w:t>
      </w:r>
      <w:r>
        <w:t xml:space="preserve"> formed after the 15th General Election, in which no single coalition obtained enough seats to form a government alone. PH and BN joined forces only to secure a parliamentary majority and avoid repeated national elections. Their cooperation is pragmatic rather than ideological, and the two sides retain fundamentally different political bases and long-term political interests.</w:t>
      </w:r>
    </w:p>
    <w:p>
      <w:pPr>
        <w:pStyle w:val="text"/>
      </w:pPr>
      <w:r>
        <w:t xml:space="preserve">Second, PH and BN possess completely different voter demographics. Pakatan Harapan relies heavily on urban voters, liberal Malays, Chinese, and Indian communities. In contrast, Barisan Nasional, especially UMNO, dominates rural Malay constituencies and conservative Malay voters. During state elections, both coalitions must protect their core voter bases. If either side yields seats to the other, it will weaken its local political influence and voter loyalty. Therefore, state-level competition is necessary for political survival.</w:t>
      </w:r>
    </w:p>
    <w:p>
      <w:pPr>
        <w:pStyle w:val="text"/>
      </w:pPr>
      <w:r>
        <w:t xml:space="preserve">Third, historical political rivalry remains strong. DAP under PH and UMNO under BN have been traditional political opponents for decades. Grassroots supporters and party members of both sides hold deep distrust toward each other, making political cooperation at the state level difficult. While they can share federal power, they cannot fully merge their local political machinery.</w:t>
      </w:r>
    </w:p>
    <w:p>
      <w:pPr>
        <w:pStyle w:val="text"/>
      </w:pPr>
      <w:r>
        <w:t xml:space="preserve">Fourth, the existence of Perikatan Nasional (PN) creates a three-party political balance. Both PH and BN need to compete for middle-ground voters to prevent PN from expanding its influence in Malay-majority areas. State elections serve as platforms to test political strength and consolidate regional support.</w:t>
      </w:r>
    </w:p>
    <w:p>
      <w:pPr>
        <w:pStyle w:val="Heading2"/>
      </w:pPr>
      <w:r>
        <w:t xml:space="preserve">2. Political and Social Status of the Chinese Community in Malaysia</w:t>
      </w:r>
    </w:p>
    <w:p>
      <w:pPr>
        <w:pStyle w:val="text"/>
      </w:pPr>
      <w:r>
        <w:t xml:space="preserve">Ethnic Chinese are the </w:t>
      </w:r>
      <w:r>
        <w:rPr>
          <w:b/>
          <w:bCs/>
        </w:rPr>
        <w:t xml:space="preserve">second-largest ethnic group</w:t>
      </w:r>
      <w:r>
        <w:t xml:space="preserve"> in Malaysia, constituting approximately 22 percent of the total population. Legally, Chinese Malaysians hold full constitutional citizenship rights, including voting rights, educational access, and economic freedom. However, their political and social status is shaped by Malaysia’s unique ethnic-based governance structure.</w:t>
      </w:r>
    </w:p>
    <w:p>
      <w:pPr>
        <w:pStyle w:val="text"/>
      </w:pPr>
      <w:r>
        <w:t xml:space="preserve">In terms of </w:t>
      </w:r>
      <w:r>
        <w:rPr>
          <w:b/>
          <w:bCs/>
        </w:rPr>
        <w:t xml:space="preserve">legal citizenship</w:t>
      </w:r>
      <w:r>
        <w:t xml:space="preserve">, Chinese Malaysians are legitimate citizens without second-class status. Nevertheless, the Malaysian Constitution grants special Bumiputera privileges to Malays and indigenous groups in university admission, government scholarships, public sector employment, and government business quotas. Non-Bumiputera Chinese citizens do not enjoy these affirmative-action benefits, creating structural inequality in public resources.</w:t>
      </w:r>
    </w:p>
    <w:p>
      <w:pPr>
        <w:pStyle w:val="text"/>
      </w:pPr>
      <w:r>
        <w:t xml:space="preserve">Economically, the Chinese community plays a dominant role in small and medium enterprises, commerce, manufacturing, and domestic trade. Chinese businesses form the backbone of Malaysia’s private economy. Despite strong economic capability, Chinese-owned companies still face institutional restrictions in government tenders and public-sector projects due to Bumiputera quota policies.</w:t>
      </w:r>
    </w:p>
    <w:p>
      <w:pPr>
        <w:pStyle w:val="text"/>
      </w:pPr>
      <w:r>
        <w:t xml:space="preserve">In </w:t>
      </w:r>
      <w:r>
        <w:rPr>
          <w:b/>
          <w:bCs/>
        </w:rPr>
        <w:t xml:space="preserve">education</w:t>
      </w:r>
      <w:r>
        <w:t xml:space="preserve">, Malaysia maintains a complete independent Chinese education system, including Chinese primary schools and private Chinese independent high schools. However, the Unified Examination Certificate (UEC) of Chinese independent schools is still not fully recognized by the federal government for public university admission. This long-standing issue remains the main educational concern of the Chinese community.</w:t>
      </w:r>
    </w:p>
    <w:p>
      <w:pPr>
        <w:pStyle w:val="text"/>
      </w:pPr>
      <w:r>
        <w:t xml:space="preserve">Politically, Chinese Malaysians have stable political representation. The DAP, as the largest Chinese-based party in parliament, holds the most seats within the Unity Government and represents mainstream Chinese political voices. MCA, as part of BN, retains limited representation but has declining public influence. Overall, Chinese political power is significant within the multiracial coalition system, yet it is constrained by Malaysia’s Malay-majority electoral structure. Since ethnic Malays form the majority population and dominate national political institutions, minority groups cannot govern independently and must rely on coalition politics to protect their rights and interests.</w:t>
      </w:r>
    </w:p>
    <w:p>
      <w:pPr>
        <w:pStyle w:val="text"/>
      </w:pPr>
      <w:r>
        <w:t xml:space="preserve">In summary, Chinese Malaysians enjoy full citizenship, strong economic standing, and complete cultural preservation rights. They are politically represented but structurally limited by Malaysia’s ethnic preferential policies and majoritarian political system.</w:t>
      </w:r>
    </w:p>
    <w:p>
      <w:pPr>
        <w:pStyle w:val="text"/>
      </w:pPr>
      <w:r>
        <w:t xml:space="preserve">(豆包AI生成)</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288" w:hanging="288"/>
      </w:pPr>
      <w:rPr>
        <w:color w:val="3370FF"/>
        <w:sz w:val="22"/>
        <w:szCs w:val="22"/>
      </w:rPr>
    </w:lvl>
    <w:lvl w:ilvl="1" w15:tentative="1">
      <w:start w:val="1"/>
      <w:numFmt w:val="lowerLetter"/>
      <w:lvlText w:val="%2."/>
      <w:lvlJc w:val="start"/>
      <w:pPr>
        <w:ind w:left="720" w:hanging="288"/>
      </w:pPr>
      <w:rPr>
        <w:color w:val="3370FF"/>
        <w:sz w:val="22"/>
        <w:szCs w:val="22"/>
      </w:rPr>
    </w:lvl>
    <w:lvl w:ilvl="2" w15:tentative="1">
      <w:start w:val="1"/>
      <w:numFmt w:val="lowerRoman"/>
      <w:lvlText w:val="%3."/>
      <w:lvlJc w:val="start"/>
      <w:pPr>
        <w:ind w:left="1152" w:hanging="288"/>
      </w:pPr>
      <w:rPr>
        <w:color w:val="3370FF"/>
        <w:sz w:val="22"/>
        <w:szCs w:val="22"/>
      </w:rPr>
    </w:lvl>
  </w:abstractNum>
  <w:abstractNum w:abstractNumId="3" w15:restartNumberingAfterBreak="0">
    <w:multiLevelType w:val="hybridMultilevel"/>
    <w:lvl w:ilvl="0" w15:tentative="1">
      <w:start w:val="1"/>
      <w:numFmt w:val="bullet"/>
      <w:lvlText w:val="•"/>
      <w:lvlJc w:val="start"/>
      <w:pPr>
        <w:ind w:left="288" w:hanging="288"/>
      </w:pPr>
      <w:rPr>
        <w:color w:val="3370FF"/>
        <w:sz w:val="22"/>
        <w:szCs w:val="22"/>
      </w:rPr>
    </w:lvl>
    <w:lvl w:ilvl="1" w15:tentative="1">
      <w:start w:val="1"/>
      <w:numFmt w:val="bullet"/>
      <w:lvlText w:val="◦"/>
      <w:lvlJc w:val="start"/>
      <w:pPr>
        <w:ind w:left="720" w:hanging="288"/>
      </w:pPr>
      <w:rPr>
        <w:color w:val="3370FF"/>
        <w:sz w:val="22"/>
        <w:szCs w:val="22"/>
      </w:rPr>
    </w:lvl>
    <w:lvl w:ilvl="2" w15:tentative="1">
      <w:start w:val="1"/>
      <w:numFmt w:val="bullet"/>
      <w:lvlText w:val="▪"/>
      <w:lvlJc w:val="start"/>
      <w:pPr>
        <w:ind w:left="1152" w:hanging="288"/>
      </w:pPr>
      <w:rPr>
        <w:color w:val="3370FF"/>
        <w:sz w:val="22"/>
        <w:szCs w:val="22"/>
      </w:rPr>
    </w:lvl>
  </w:abstractNum>
  <w:abstractNum w:abstractNumId="4" w15:restartNumberingAfterBreak="0">
    <w:multiLevelType w:val="hybridMultilevel"/>
    <w:lvl w:ilvl="0" w15:tentative="1">
      <w:start w:val="1"/>
      <w:numFmt w:val="custom"/>
      <w:lvlText w:val="☐"/>
      <w:lvlJc w:val="start"/>
      <w:pPr>
        <w:ind w:left="288" w:hanging="288"/>
      </w:pPr>
    </w:lvl>
    <w:lvl w:ilvl="1" w15:tentative="1">
      <w:start w:val="1"/>
      <w:numFmt w:val="custom"/>
      <w:lvlText w:val="☐"/>
      <w:lvlJc w:val="start"/>
      <w:pPr>
        <w:ind w:left="720" w:hanging="288"/>
      </w:pPr>
    </w:lvl>
    <w:lvl w:ilvl="2" w15:tentative="1">
      <w:start w:val="1"/>
      <w:numFmt w:val="custom"/>
      <w:lvlText w:val="☐"/>
      <w:lvlJc w:val="start"/>
      <w:pPr>
        <w:ind w:left="1152" w:hanging="288"/>
      </w:pPr>
    </w:lvl>
  </w:abstractNum>
  <w:abstractNum w:abstractNumId="5" w15:restartNumberingAfterBreak="0">
    <w:multiLevelType w:val="hybridMultilevel"/>
    <w:lvl w:ilvl="0" w15:tentative="1">
      <w:start w:val="1"/>
      <w:numFmt w:val="custom"/>
      <w:lvlText w:val="☑"/>
      <w:lvlJc w:val="start"/>
      <w:pPr>
        <w:ind w:left="288" w:hanging="288"/>
      </w:pPr>
    </w:lvl>
    <w:lvl w:ilvl="1" w15:tentative="1">
      <w:start w:val="1"/>
      <w:numFmt w:val="custom"/>
      <w:lvlText w:val="☑"/>
      <w:lvlJc w:val="start"/>
      <w:pPr>
        <w:ind w:left="720" w:hanging="288"/>
      </w:pPr>
    </w:lvl>
    <w:lvl w:ilvl="2" w15:tentative="1">
      <w:start w:val="1"/>
      <w:numFmt w:val="custom"/>
      <w:lvlText w:val="☑"/>
      <w:lvlJc w:val="start"/>
      <w:pPr>
        <w:ind w:left="1152" w:hanging="288"/>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before="480" w:after="480" w:line="288" w:lineRule="auto"/>
      <w:ind w:left="0"/>
    </w:pPr>
    <w:rPr>
      <w:b/>
      <w:bCs/>
      <w:sz w:val="52"/>
      <w:szCs w:val="52"/>
      <w:rFonts w:ascii="Arial" w:hAnsi="Arial" w:eastAsia="等线" w:cs="Arial"/>
    </w:rPr>
  </w:style>
  <w:style w:type="paragraph" w:styleId="Heading1">
    <w:name w:val="Heading 1"/>
    <w:basedOn w:val="Normal"/>
    <w:next w:val="Normal"/>
    <w:qFormat/>
    <w:pPr>
      <w:spacing w:before="380" w:after="140" w:line="288" w:lineRule="auto"/>
      <w:ind w:left="0"/>
      <w:jc w:val="left"/>
      <w:outlineLvl w:val="0"/>
    </w:pPr>
    <w:rPr>
      <w:b/>
      <w:bCs/>
      <w:sz w:val="36"/>
      <w:szCs w:val="36"/>
      <w:rFonts w:ascii="Arial" w:hAnsi="Arial" w:eastAsia="等线" w:cs="Arial"/>
    </w:rPr>
  </w:style>
  <w:style w:type="paragraph" w:styleId="Heading2">
    <w:name w:val="Heading 2"/>
    <w:basedOn w:val="Normal"/>
    <w:next w:val="Normal"/>
    <w:qFormat/>
    <w:pPr>
      <w:spacing w:before="320" w:after="120" w:line="288" w:lineRule="auto"/>
      <w:ind w:left="0"/>
      <w:jc w:val="left"/>
      <w:outlineLvl w:val="1"/>
    </w:pPr>
    <w:rPr>
      <w:b/>
      <w:bCs/>
      <w:sz w:val="32"/>
      <w:szCs w:val="32"/>
      <w:rFonts w:ascii="Arial" w:hAnsi="Arial" w:eastAsia="等线" w:cs="Arial"/>
    </w:rPr>
  </w:style>
  <w:style w:type="paragraph" w:styleId="Heading3">
    <w:name w:val="Heading 3"/>
    <w:basedOn w:val="Normal"/>
    <w:next w:val="Normal"/>
    <w:qFormat/>
    <w:pPr>
      <w:spacing w:before="300" w:after="120" w:line="288" w:lineRule="auto"/>
      <w:ind w:left="0"/>
      <w:jc w:val="left"/>
      <w:outlineLvl w:val="2"/>
    </w:pPr>
    <w:rPr>
      <w:b/>
      <w:bCs/>
      <w:sz w:val="30"/>
      <w:szCs w:val="30"/>
      <w:rFonts w:ascii="Arial" w:hAnsi="Arial" w:eastAsia="等线" w:cs="Arial"/>
    </w:rPr>
  </w:style>
  <w:style w:type="paragraph" w:styleId="Heading4">
    <w:name w:val="Heading 4"/>
    <w:basedOn w:val="Normal"/>
    <w:next w:val="Normal"/>
    <w:qFormat/>
    <w:pPr>
      <w:spacing w:before="260" w:after="120" w:line="288" w:lineRule="auto"/>
      <w:ind w:left="0"/>
      <w:jc w:val="left"/>
      <w:outlineLvl w:val="3"/>
    </w:pPr>
    <w:rPr>
      <w:b/>
      <w:bCs/>
      <w:sz w:val="28"/>
      <w:szCs w:val="28"/>
      <w:rFonts w:ascii="Arial" w:hAnsi="Arial" w:eastAsia="等线" w:cs="Arial"/>
    </w:rPr>
  </w:style>
  <w:style w:type="paragraph" w:styleId="Heading5">
    <w:name w:val="Heading 5"/>
    <w:basedOn w:val="Normal"/>
    <w:next w:val="Normal"/>
    <w:qFormat/>
    <w:pPr>
      <w:spacing w:before="240" w:after="120" w:line="288" w:lineRule="auto"/>
      <w:ind w:left="0"/>
      <w:jc w:val="left"/>
      <w:outlineLvl w:val="4"/>
    </w:pPr>
    <w:rPr>
      <w:b/>
      <w:bCs/>
      <w:sz w:val="24"/>
      <w:szCs w:val="24"/>
      <w:rFonts w:ascii="Arial" w:hAnsi="Arial" w:eastAsia="等线" w:cs="Arial"/>
    </w:rPr>
  </w:style>
  <w:style w:type="paragraph" w:styleId="Heading6">
    <w:name w:val="Heading 6"/>
    <w:basedOn w:val="Normal"/>
    <w:next w:val="Normal"/>
    <w:qFormat/>
    <w:pPr>
      <w:spacing w:before="240" w:after="120" w:line="288" w:lineRule="auto"/>
      <w:ind w:left="0"/>
      <w:jc w:val="left"/>
      <w:outlineLvl w:val="5"/>
    </w:pPr>
    <w:rPr>
      <w:b/>
      <w:bCs/>
      <w:sz w:val="24"/>
      <w:szCs w:val="24"/>
      <w:rFonts w:ascii="Arial" w:hAnsi="Arial" w:eastAsia="等线" w:cs="Arial"/>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ext">
    <w:pPr>
      <w:spacing w:before="120" w:after="120" w:line="288" w:lineRule="auto"/>
      <w:ind w:left="0"/>
      <w:jc w:val="left"/>
    </w:pPr>
    <w:rPr>
      <w:sz w:val="22"/>
      <w:szCs w:val="22"/>
      <w:rFonts w:ascii="Arial" w:hAnsi="Arial" w:eastAsia="等线" w:cs="Arial"/>
    </w:rPr>
  </w:style>
  <w:style w:type="paragraph" w:styleId="blockquote">
    <w:pPr>
      <w:spacing w:before="120" w:after="120" w:line="288" w:lineRule="auto"/>
      <w:ind w:left="0"/>
      <w:jc w:val="left"/>
    </w:pPr>
    <w:rPr>
      <w:color w:val="8F959E"/>
      <w:sz w:val="22"/>
      <w:szCs w:val="22"/>
      <w:rFonts w:ascii="Arial" w:hAnsi="Arial" w:eastAsia="等线" w:cs="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2026-08-19T06:46:43.348Z</dcterms:created>
  <dcterms:modified xsi:type="dcterms:W3CDTF">2026-08-19T06:46:43.348Z</dcterms:modified>
</cp:coreProperties>
</file>

<file path=docProps/custom.xml><?xml version="1.0" encoding="utf-8"?>
<Properties xmlns="http://schemas.openxmlformats.org/officeDocument/2006/custom-properties" xmlns:vt="http://schemas.openxmlformats.org/officeDocument/2006/docPropsVTypes"/>
</file>