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shd w:val="clear" w:fill="auto"/>
        <w:spacing w:lineRule="auto" w:line="240" w:before="0" w:after="240"/>
        <w:rPr>
          <w:rFonts w:ascii="Arial Unicode MS" w:hAnsi="Arial Unicode MS" w:eastAsia="Arial Unicode MS" w:cs="Arial Unicode MS"/>
        </w:rPr>
      </w:pPr>
      <w:r>
        <w:rPr/>
      </w:r>
    </w:p>
    <w:p>
      <w:pPr>
        <w:pStyle w:val="1"/>
        <w:pBdr/>
        <w:shd w:val="clear" w:fill="auto"/>
        <w:spacing w:lineRule="auto" w:line="240" w:before="0" w:after="240"/>
        <w:rPr/>
      </w:pPr>
      <w:r>
        <w:rPr/>
        <w:t>Functional Behaviour Assessment Case Study: Leo</w:t>
      </w:r>
    </w:p>
    <w:p>
      <w:pPr>
        <w:pStyle w:val="2"/>
        <w:pBdr/>
        <w:shd w:val="clear" w:fill="auto"/>
        <w:spacing w:lineRule="auto" w:line="240" w:before="0" w:after="225"/>
        <w:rPr/>
      </w:pPr>
      <w:r>
        <w:rPr/>
        <w:t>Introduction</w:t>
      </w:r>
    </w:p>
    <w:p>
      <w:pPr>
        <w:pStyle w:val="Normal1"/>
        <w:pBdr/>
        <w:shd w:val="clear" w:fill="auto"/>
        <w:rPr/>
      </w:pPr>
      <w:r>
        <w:rPr/>
        <w:t>Inclusive education policies mandate that neurodivergent and disabled learners be educated alongside their neurotypical peers within mainstream classrooms (UNESCO, 2022). However, simply placing students with additional needs into standard classroom environments fails to yield meaningful educational outcomes without equal curriculum access, structured peer interactions, and personalised support tailored to individual developmental differences (Golden et al., 2025).</w:t>
      </w:r>
    </w:p>
    <w:p>
      <w:pPr>
        <w:pStyle w:val="Normal1"/>
        <w:pBdr/>
        <w:shd w:val="clear" w:fill="auto"/>
        <w:rPr/>
      </w:pPr>
      <w:r>
        <w:rPr/>
        <w:t>Mainstream educators frequently encounter practical hurdles when translating inclusive guidelines into daily classroom routines. Many primary and secondary teachers receive limited pre-service training in formal behaviour analysis or customized intervention design for neurodivergent pupils (Lapidez, 2026). Consequently, sensory-driven or communication-related behaviours are easily misclassified as deliberate non-compliance. Corrective or disciplinary responses to withdrawal, repetitive vocalisations, or defensive physical contact often ignore the pupil's underlying unmet needs, ultimately reducing classroom participation and disrupting peer relationships over time (Richter et al., 2026).</w:t>
      </w:r>
    </w:p>
    <w:p>
      <w:pPr>
        <w:pStyle w:val="Normal1"/>
        <w:pBdr/>
        <w:shd w:val="clear" w:fill="auto"/>
        <w:rPr/>
      </w:pPr>
      <w:r>
        <w:rPr/>
        <w:t>Functional Behaviour Assessment (FBA) offers a systematic analytical framework to look beyond surface-level disruption. Rather than focusing on behaviour suppression, an FBA systematically maps environmental triggers, post-behaviour consequences, and the hidden reinforcement functions that drive specific actions (MacDonald &amp; Ahearn, 2015; DeQuinzio et al., 2018).</w:t>
      </w:r>
    </w:p>
    <w:p>
      <w:pPr>
        <w:pStyle w:val="Normal1"/>
        <w:pBdr/>
        <w:shd w:val="clear" w:fill="auto"/>
        <w:spacing w:lineRule="auto" w:line="240" w:before="0" w:after="225"/>
        <w:rPr/>
      </w:pPr>
      <w:r>
        <w:rPr/>
        <w:t>This paper evaluates the classroom placement of Leo, a 12-year-old Year 7 student diagnosed with Level 1 Autism Spectrum Disorder (ASD). It outlines his developmental profile, educational history, and the contextual challenges present within his inclusive classroom setting. Based on four weeks of simulated ABC observations, semi-structured interviews with teaching staff and his primary caregiver, and archived SEN documentation, three target behaviours are analysed. Finally, a multi-component Behaviour Intervention Plan (BIP) is proposed, incorporating movement routines, observational learning, sensory adjustments, and targeted replacement behaviour training (Soleiman et al., 2023; Duan et al., 2025).</w:t>
      </w:r>
    </w:p>
    <w:p>
      <w:pPr>
        <w:pStyle w:val="2"/>
        <w:pBdr/>
        <w:shd w:val="clear" w:fill="auto"/>
        <w:spacing w:lineRule="auto" w:line="240" w:before="0" w:after="240"/>
        <w:rPr/>
      </w:pPr>
      <w:r>
        <w:rPr/>
        <w:t>1. Learner Profile</w:t>
      </w:r>
    </w:p>
    <w:p>
      <w:pPr>
        <w:pStyle w:val="3"/>
        <w:pBdr/>
        <w:shd w:val="clear" w:fill="auto"/>
        <w:spacing w:lineRule="auto" w:line="240" w:before="0" w:after="240"/>
        <w:rPr/>
      </w:pPr>
      <w:r>
        <w:rPr/>
        <w:t>1.1 Demographic &amp; Neurodevelopmental Background</w:t>
      </w:r>
    </w:p>
    <w:p>
      <w:pPr>
        <w:pStyle w:val="Normal1"/>
        <w:pBdr/>
        <w:shd w:val="clear" w:fill="auto"/>
        <w:rPr/>
      </w:pPr>
      <w:r>
        <w:rPr/>
        <w:t>Leo is a 12-year-old male with a formal diagnosis of Level 1 ASD under DSM-5 criteria, without intellectual impairment (Full-Scale IQ: 92 via DAS-II at age seven). His clinical picture is further complicated by comorbid mild Attention Deficit Hyperactivity Disorder (ADHD) and Sensory Processing Disorder (SPD) (Ede İleri et al., 2026; Golden et al., 2025). Such co-occurrences are well-documented; approximately 79% of autistic youth display concurrent ADHD symptoms, highlighting that Leo's dual challenges represent a common clinical presentation (Richter et al., 2026).</w:t>
      </w:r>
    </w:p>
    <w:p>
      <w:pPr>
        <w:pStyle w:val="Normal1"/>
        <w:pBdr/>
        <w:shd w:val="clear" w:fill="auto"/>
        <w:spacing w:lineRule="auto" w:line="240" w:before="0" w:after="240"/>
        <w:rPr/>
      </w:pPr>
      <w:r>
        <w:rPr/>
        <w:t>Neuroimaging research by the Chinese Autism Brain Imaging Consortium (CABIC) outlines developmental trajectories typical in autistic children, characterized by early accelerated cerebral growth followed by delayed cortical maturation (Duan et al., 2025). This neurodevelopmental sequence correlates directly with heightened sensory sensitivity, weakened executive skills, and poor adaptability to unplanned social transitions—difficulties that frequently manifest in Leo's classroom conduct.</w:t>
      </w:r>
    </w:p>
    <w:p>
      <w:pPr>
        <w:pStyle w:val="3"/>
        <w:pBdr/>
        <w:shd w:val="clear" w:fill="auto"/>
        <w:spacing w:lineRule="auto" w:line="240" w:before="0" w:after="240"/>
        <w:rPr/>
      </w:pPr>
      <w:r>
        <w:rPr/>
        <w:t>1.2 Educational Background</w:t>
      </w:r>
    </w:p>
    <w:p>
      <w:pPr>
        <w:pStyle w:val="Normal1"/>
        <w:pBdr/>
        <w:shd w:val="clear" w:fill="auto"/>
        <w:rPr/>
      </w:pPr>
      <w:r>
        <w:rPr/>
        <w:t>Leo has attended inclusive mainstream classes since Year 1. Between Years 1 and 6, he received 10 hours of weekly SEN support, which was reduced to three hours upon transitioning to Year 7. Current support consists of individual emotional regulation coaching and small-group observational learning workshops (Iaquinta et al., 2026). Although Leo has engaged in short-term ABA therapy, ESDM, and sensory integration therapy, inconsistent communication between home and school has hindered skill generalisation; strategies learned in clinical settings rarely transfer smoothly to the classroom (Golden et al., 2025).</w:t>
      </w:r>
    </w:p>
    <w:p>
      <w:pPr>
        <w:pStyle w:val="Normal1"/>
        <w:pBdr/>
        <w:shd w:val="clear" w:fill="auto"/>
        <w:spacing w:lineRule="auto" w:line="240" w:before="0" w:after="225"/>
        <w:rPr/>
      </w:pPr>
      <w:r>
        <w:rPr/>
        <w:t>Academically, Leo demonstrates solid foundational literacy and mathematical skills during independent work with explicit instructions. His primary barriers arise during collaborative group work and unstructured social times (such as lunch and break periods), where implicit social rules generate substantial cognitive load (Soleiman et al., 2023).</w:t>
      </w:r>
    </w:p>
    <w:p>
      <w:pPr>
        <w:pStyle w:val="2"/>
        <w:pBdr/>
        <w:shd w:val="clear" w:fill="auto"/>
        <w:spacing w:lineRule="auto" w:line="240" w:before="0" w:after="225"/>
        <w:rPr/>
      </w:pPr>
      <w:r>
        <w:rPr/>
        <w:t>2. Inclusive Classroom Setting</w:t>
      </w:r>
    </w:p>
    <w:p>
      <w:pPr>
        <w:pStyle w:val="Normal1"/>
        <w:pBdr/>
        <w:shd w:val="clear" w:fill="auto"/>
        <w:rPr/>
      </w:pPr>
      <w:r>
        <w:rPr/>
        <w:t>Leo's Year 7 cohort consists of 28 mixed-ability students, managed by a full-time teacher and a part-time SEN Teaching Assistant (TA). A key structural limitation is that the TA is present only during morning blocks, leaving afternoon lessons unsupported.</w:t>
      </w:r>
    </w:p>
    <w:p>
      <w:pPr>
        <w:pStyle w:val="Normal1"/>
        <w:pBdr/>
        <w:shd w:val="clear" w:fill="auto"/>
        <w:spacing w:lineRule="auto" w:line="240" w:before="0" w:after="225"/>
        <w:rPr/>
      </w:pPr>
      <w:r>
        <w:rPr/>
        <w:t>The classroom environment contains several elements that exacerbate sensory and executive challenges. Noise levels fluctuate unpredictably, group compositions change with minimal warning, and lesson transitions lack structured visual guidance (Lapidez, 2026). Furthermore, no quiet sensory space is available for self-regulation. While a daily ten-minute break is provided, it consists of unstructured free play rather than targeted adaptive movement designed for sensory modulation (Richter et al., 2026).</w:t>
      </w:r>
    </w:p>
    <w:p>
      <w:pPr>
        <w:pStyle w:val="2"/>
        <w:pBdr/>
        <w:shd w:val="clear" w:fill="auto"/>
        <w:spacing w:lineRule="auto" w:line="240" w:before="0" w:after="225"/>
        <w:rPr/>
      </w:pPr>
      <w:r>
        <w:rPr/>
        <w:t>3. Core Behavioural Concerns</w:t>
      </w:r>
    </w:p>
    <w:p>
      <w:pPr>
        <w:pStyle w:val="Normal1"/>
        <w:pBdr/>
        <w:shd w:val="clear" w:fill="auto"/>
        <w:rPr/>
      </w:pPr>
      <w:r>
        <w:rPr/>
        <w:t>Interviews with the teacher, TA, and parent identified three primary challenging behaviours:</w:t>
      </w:r>
    </w:p>
    <w:p>
      <w:pPr>
        <w:pStyle w:val="Normal1"/>
        <w:numPr>
          <w:ilvl w:val="0"/>
          <w:numId w:val="1"/>
        </w:numPr>
        <w:pBdr/>
        <w:shd w:val="clear" w:fill="auto"/>
        <w:ind w:left="600" w:hanging="360"/>
        <w:rPr/>
      </w:pPr>
      <w:r>
        <w:rPr>
          <w:b/>
          <w:bCs/>
        </w:rPr>
        <w:t>Escape and Withdrawal:</w:t>
      </w:r>
      <w:r>
        <w:rPr/>
        <w:t xml:space="preserve"> Leaving his allocated seat or exiting the classroom entirely during unstructured collaborative group tasks.</w:t>
      </w:r>
    </w:p>
    <w:p>
      <w:pPr>
        <w:pStyle w:val="Normal1"/>
        <w:numPr>
          <w:ilvl w:val="0"/>
          <w:numId w:val="1"/>
        </w:numPr>
        <w:pBdr/>
        <w:shd w:val="clear" w:fill="auto"/>
        <w:ind w:left="600" w:hanging="360"/>
        <w:rPr/>
      </w:pPr>
      <w:r>
        <w:rPr>
          <w:b/>
          <w:bCs/>
        </w:rPr>
        <w:t>Vocal Stereotypy:</w:t>
      </w:r>
      <w:r>
        <w:rPr/>
        <w:t xml:space="preserve"> Repetitive recitation of memorised movie scripts and lines during teacher-led instruction.</w:t>
      </w:r>
    </w:p>
    <w:p>
      <w:pPr>
        <w:pStyle w:val="Normal1"/>
        <w:numPr>
          <w:ilvl w:val="0"/>
          <w:numId w:val="1"/>
        </w:numPr>
        <w:pBdr/>
        <w:shd w:val="clear" w:fill="auto"/>
        <w:ind w:left="600" w:hanging="360"/>
        <w:rPr/>
      </w:pPr>
      <w:r>
        <w:rPr>
          <w:b/>
          <w:bCs/>
        </w:rPr>
        <w:t>Minor Defensive Contact:</w:t>
      </w:r>
      <w:r>
        <w:rPr/>
        <w:t xml:space="preserve"> Brief, light pushing directed at peers following sudden loud noises or unexpected physical contact (Ede İleri et al., 2026; Spriggs et al., 2016).</w:t>
      </w:r>
    </w:p>
    <w:p>
      <w:pPr>
        <w:pStyle w:val="Normal1"/>
        <w:pBdr/>
        <w:shd w:val="clear" w:fill="auto"/>
        <w:spacing w:lineRule="auto" w:line="240" w:before="0" w:after="225"/>
        <w:rPr/>
      </w:pPr>
      <w:r>
        <w:rPr/>
        <w:t>These behaviours limit Leo's engagement with the curriculum and strain peer relationships. Staff responses currently rely on immediate verbal correction rather than preventative environmental modifications, creating a reactive pattern that fails to address the underlying functions.</w:t>
      </w:r>
    </w:p>
    <w:p>
      <w:pPr>
        <w:pStyle w:val="2"/>
        <w:pBdr/>
        <w:shd w:val="clear" w:fill="auto"/>
        <w:spacing w:lineRule="auto" w:line="240" w:before="0" w:after="240"/>
        <w:rPr/>
      </w:pPr>
      <w:r>
        <w:rPr/>
        <w:t>4. Behaviour Analysis</w:t>
      </w:r>
    </w:p>
    <w:p>
      <w:pPr>
        <w:pStyle w:val="3"/>
        <w:pBdr/>
        <w:shd w:val="clear" w:fill="auto"/>
        <w:spacing w:lineRule="auto" w:line="240" w:before="0" w:after="240"/>
        <w:rPr/>
      </w:pPr>
      <w:r>
        <w:rPr/>
        <w:t>4.1 ASD-Specific Drivers of Observed Conduct</w:t>
      </w:r>
    </w:p>
    <w:p>
      <w:pPr>
        <w:pStyle w:val="Normal1"/>
        <w:pBdr/>
        <w:shd w:val="clear" w:fill="auto"/>
        <w:rPr/>
      </w:pPr>
      <w:r>
        <w:rPr/>
        <w:t>Leo's actions must not be framed as deliberate defiance. In autistic children, withdrawal, repetitive speech, and defensive physical responses typically serve as adaptive mechanisms against sensory overload, anxiety, communication barriers, or high cognitive demand (Duan et al., 2025):</w:t>
      </w:r>
    </w:p>
    <w:p>
      <w:pPr>
        <w:pStyle w:val="Normal1"/>
        <w:numPr>
          <w:ilvl w:val="0"/>
          <w:numId w:val="2"/>
        </w:numPr>
        <w:pBdr/>
        <w:shd w:val="clear" w:fill="auto"/>
        <w:ind w:left="600" w:hanging="360"/>
        <w:rPr/>
      </w:pPr>
      <w:r>
        <w:rPr>
          <w:b/>
          <w:bCs/>
        </w:rPr>
        <w:t>Escape/Withdrawal:</w:t>
      </w:r>
      <w:r>
        <w:rPr/>
        <w:t xml:space="preserve"> Overwhelming sensory input or ambiguous group demands prompt physical distance as a means to reduce physiological arousal (Ede İleri et al., 2026). Because implicit social norms in group settings require heavy cognitive processing, disengagement becomes a lower-effort coping strategy (MacDonald &amp; Ahearn, 2015; Iaquinta et al., 2026; Saadatzi et al., 2018).</w:t>
      </w:r>
    </w:p>
    <w:p>
      <w:pPr>
        <w:pStyle w:val="Normal1"/>
        <w:numPr>
          <w:ilvl w:val="0"/>
          <w:numId w:val="2"/>
        </w:numPr>
        <w:pBdr/>
        <w:shd w:val="clear" w:fill="auto"/>
        <w:ind w:left="600" w:hanging="360"/>
        <w:rPr/>
      </w:pPr>
      <w:r>
        <w:rPr>
          <w:b/>
          <w:bCs/>
        </w:rPr>
        <w:t>Vocal Stereotypy:</w:t>
      </w:r>
      <w:r>
        <w:rPr/>
        <w:t xml:space="preserve"> Scripted speech functions as a predictable sensory anchor to stabilize internal arousal (Spriggs et al., 2016). During prolonged listening tasks, his co-occurring ADHD increases restlessness. Restricted opportunities for daily physical movement correlate directly with higher rates of repetitive verbal behaviour in autistic adolescents (Richter et al., 2026).</w:t>
      </w:r>
    </w:p>
    <w:p>
      <w:pPr>
        <w:pStyle w:val="Normal1"/>
        <w:numPr>
          <w:ilvl w:val="0"/>
          <w:numId w:val="2"/>
        </w:numPr>
        <w:pBdr/>
        <w:shd w:val="clear" w:fill="auto"/>
        <w:ind w:left="600" w:hanging="360"/>
        <w:rPr/>
      </w:pPr>
      <w:r>
        <w:rPr>
          <w:b/>
          <w:bCs/>
        </w:rPr>
        <w:t>Defensive Pushing:</w:t>
      </w:r>
      <w:r>
        <w:rPr/>
        <w:t xml:space="preserve"> Unexpected noise or physical touch exceeds Leo's sensory threshold. This triggers an automatic protective movement before cognitive processing occurs, functioning as self-protection rather than intentional aggression (Ede İleri et al., 2023; Duan et al., 2025).</w:t>
      </w:r>
    </w:p>
    <w:p>
      <w:pPr>
        <w:pStyle w:val="3"/>
        <w:pBdr/>
        <w:shd w:val="clear" w:fill="auto"/>
        <w:rPr/>
      </w:pPr>
      <w:r>
        <w:rPr/>
        <w:t>4.2 Antecedent Triggers &amp; Classroom Risk Factors</w:t>
      </w:r>
    </w:p>
    <w:p>
      <w:pPr>
        <w:pStyle w:val="Normal1"/>
        <w:pBdr/>
        <w:shd w:val="clear" w:fill="auto"/>
        <w:rPr/>
      </w:pPr>
      <w:r>
        <w:rPr/>
        <w:t>Observational data and interviews identify several consistent triggers:</w:t>
      </w:r>
    </w:p>
    <w:p>
      <w:pPr>
        <w:pStyle w:val="Normal1"/>
        <w:numPr>
          <w:ilvl w:val="0"/>
          <w:numId w:val="3"/>
        </w:numPr>
        <w:pBdr/>
        <w:shd w:val="clear" w:fill="auto"/>
        <w:ind w:left="600" w:hanging="360"/>
        <w:rPr/>
      </w:pPr>
      <w:r>
        <w:rPr/>
        <w:t>Unstructured group tasks lacking sequential visual steps (DeQuinzio &amp; Taylor, 2015).</w:t>
      </w:r>
    </w:p>
    <w:p>
      <w:pPr>
        <w:pStyle w:val="Normal1"/>
        <w:numPr>
          <w:ilvl w:val="0"/>
          <w:numId w:val="3"/>
        </w:numPr>
        <w:pBdr/>
        <w:shd w:val="clear" w:fill="auto"/>
        <w:ind w:left="600" w:hanging="360"/>
        <w:rPr/>
      </w:pPr>
      <w:r>
        <w:rPr/>
        <w:t>Teacher lectures exceeding 25 minutes without movement breaks (The Physical Activity Effect Research Group, 2026).</w:t>
      </w:r>
    </w:p>
    <w:p>
      <w:pPr>
        <w:pStyle w:val="Normal1"/>
        <w:numPr>
          <w:ilvl w:val="0"/>
          <w:numId w:val="3"/>
        </w:numPr>
        <w:pBdr/>
        <w:shd w:val="clear" w:fill="auto"/>
        <w:ind w:left="600" w:hanging="360"/>
        <w:rPr/>
      </w:pPr>
      <w:r>
        <w:rPr/>
        <w:t>Sudden auditory shocks (e.g., shouting, alarms) or accidental peer contact during line-ups (Ede İleri et al., 2026).</w:t>
      </w:r>
    </w:p>
    <w:p>
      <w:pPr>
        <w:pStyle w:val="Normal1"/>
        <w:numPr>
          <w:ilvl w:val="0"/>
          <w:numId w:val="3"/>
        </w:numPr>
        <w:pBdr/>
        <w:shd w:val="clear" w:fill="auto"/>
        <w:ind w:left="600" w:hanging="360"/>
        <w:rPr/>
      </w:pPr>
      <w:r>
        <w:rPr/>
        <w:t>Unsupported lesson transitions that overload executive planning (Duan et al., 2025).</w:t>
      </w:r>
    </w:p>
    <w:p>
      <w:pPr>
        <w:pStyle w:val="Normal1"/>
        <w:numPr>
          <w:ilvl w:val="0"/>
          <w:numId w:val="3"/>
        </w:numPr>
        <w:pBdr/>
        <w:shd w:val="clear" w:fill="auto"/>
        <w:ind w:left="600" w:hanging="360"/>
        <w:rPr/>
      </w:pPr>
      <w:r>
        <w:rPr/>
        <w:t>Absence of a quiet regulation zone, fidget tools, or personalized visual schedules (Preschool Teachers’ Practice Consortium, 2025; ASD Inclusive Practice Research Team, 2024).</w:t>
      </w:r>
    </w:p>
    <w:p>
      <w:pPr>
        <w:pStyle w:val="Normal1"/>
        <w:numPr>
          <w:ilvl w:val="0"/>
          <w:numId w:val="3"/>
        </w:numPr>
        <w:pBdr/>
        <w:shd w:val="clear" w:fill="auto"/>
        <w:ind w:left="600" w:hanging="360"/>
        <w:rPr/>
      </w:pPr>
      <w:r>
        <w:rPr/>
        <w:t>Lack of afternoon TA support (Lapidez, 2026).</w:t>
      </w:r>
    </w:p>
    <w:p>
      <w:pPr>
        <w:pStyle w:val="3"/>
        <w:pBdr/>
        <w:shd w:val="clear" w:fill="auto"/>
        <w:rPr/>
      </w:pPr>
      <w:r>
        <w:rPr/>
        <w:t>4.3 Long-Term Educational Risks</w:t>
      </w:r>
    </w:p>
    <w:p>
      <w:pPr>
        <w:pStyle w:val="Normal1"/>
        <w:pBdr/>
        <w:shd w:val="clear" w:fill="auto"/>
        <w:rPr/>
      </w:pPr>
      <w:r>
        <w:rPr/>
        <w:t>Relying on reactive discipline without addressing environmental triggers carries cumulative long-term risks:</w:t>
      </w:r>
    </w:p>
    <w:p>
      <w:pPr>
        <w:pStyle w:val="Normal1"/>
        <w:numPr>
          <w:ilvl w:val="0"/>
          <w:numId w:val="4"/>
        </w:numPr>
        <w:pBdr/>
        <w:shd w:val="clear" w:fill="auto"/>
        <w:ind w:left="600" w:hanging="360"/>
        <w:rPr/>
      </w:pPr>
      <w:r>
        <w:rPr>
          <w:b/>
          <w:bCs/>
        </w:rPr>
        <w:t>Academic Disengagement:</w:t>
      </w:r>
      <w:r>
        <w:rPr/>
        <w:t xml:space="preserve"> Frequent classroom exits create gaps in instruction, compounding learning disparities over time (Golden et al., 2025).</w:t>
      </w:r>
    </w:p>
    <w:p>
      <w:pPr>
        <w:pStyle w:val="Normal1"/>
        <w:numPr>
          <w:ilvl w:val="0"/>
          <w:numId w:val="4"/>
        </w:numPr>
        <w:pBdr/>
        <w:shd w:val="clear" w:fill="auto"/>
        <w:ind w:left="600" w:hanging="360"/>
        <w:rPr/>
      </w:pPr>
      <w:r>
        <w:rPr>
          <w:b/>
          <w:bCs/>
        </w:rPr>
        <w:t>Social Marginalisation:</w:t>
      </w:r>
      <w:r>
        <w:rPr/>
        <w:t xml:space="preserve"> Stereotyped speech and physical contact prompt peer avoidance, limiting opportunities to learn reciprocal play through observation (Leaf et al., 2012).</w:t>
      </w:r>
    </w:p>
    <w:p>
      <w:pPr>
        <w:pStyle w:val="Normal1"/>
        <w:numPr>
          <w:ilvl w:val="0"/>
          <w:numId w:val="4"/>
        </w:numPr>
        <w:pBdr/>
        <w:shd w:val="clear" w:fill="auto"/>
        <w:ind w:left="600" w:hanging="360"/>
        <w:rPr/>
      </w:pPr>
      <w:r>
        <w:rPr>
          <w:b/>
          <w:bCs/>
        </w:rPr>
        <w:t>Inadvertent Reinforcement:</w:t>
      </w:r>
      <w:r>
        <w:rPr/>
        <w:t xml:space="preserve"> Corrective adult attention may unintentionally act as positive social reinforcement, maintaining the disruptive cycle (DeQuinzio et al., 2018).</w:t>
      </w:r>
    </w:p>
    <w:p>
      <w:pPr>
        <w:pStyle w:val="Normal1"/>
        <w:numPr>
          <w:ilvl w:val="0"/>
          <w:numId w:val="4"/>
        </w:numPr>
        <w:pBdr/>
        <w:shd w:val="clear" w:fill="auto"/>
        <w:ind w:left="600" w:hanging="360"/>
        <w:rPr/>
      </w:pPr>
      <w:r>
        <w:rPr>
          <w:b/>
          <w:bCs/>
        </w:rPr>
        <w:t>Chronic Anxiety:</w:t>
      </w:r>
      <w:r>
        <w:rPr/>
        <w:t xml:space="preserve"> Repeated sensory overload maintains elevated baseline stress, leading to persistent sleep disruptions and emotional lability (Sleep Disturbances Research Group, 2024).</w:t>
      </w:r>
    </w:p>
    <w:p>
      <w:pPr>
        <w:pStyle w:val="2"/>
        <w:pBdr/>
        <w:shd w:val="clear" w:fill="auto"/>
        <w:spacing w:lineRule="auto" w:line="240" w:before="225" w:after="240"/>
        <w:rPr/>
      </w:pPr>
      <w:r>
        <w:rPr/>
        <w:t>5. Functional Behaviour Assessment (FBA)</w:t>
      </w:r>
    </w:p>
    <w:p>
      <w:pPr>
        <w:pStyle w:val="3"/>
        <w:pBdr/>
        <w:shd w:val="clear" w:fill="auto"/>
        <w:spacing w:lineRule="auto" w:line="240" w:before="0" w:after="240"/>
        <w:rPr/>
      </w:pPr>
      <w:r>
        <w:rPr/>
        <w:t>5.1 ABC Data &amp; Behaviour Frequency</w:t>
      </w:r>
    </w:p>
    <w:p>
      <w:pPr>
        <w:pStyle w:val="Normal1"/>
        <w:pBdr/>
        <w:shd w:val="clear" w:fill="auto"/>
        <w:rPr/>
      </w:pPr>
      <w:r>
        <w:rPr/>
        <w:t xml:space="preserve">Data was gathered across twenty 45-minute sessions using standard ABC logging protocols. </w:t>
      </w:r>
      <w:r>
        <w:rPr>
          <w:i/>
          <w:iCs/>
        </w:rPr>
        <w:t>(Note: All classroom observation data was simulated for this case study to reflect patterns documented in current research literature)</w:t>
      </w:r>
      <w:r>
        <w:rPr/>
        <w:t>.</w:t>
      </w:r>
    </w:p>
    <w:tbl>
      <w:tblPr>
        <w:tblStyle w:val="Table1"/>
        <w:tblW w:w="9360" w:type="dxa"/>
        <w:jc w:val="left"/>
        <w:tblInd w:w="0" w:type="dxa"/>
        <w:tblLayout w:type="fixed"/>
        <w:tblCellMar>
          <w:top w:w="0" w:type="dxa"/>
          <w:left w:w="0" w:type="dxa"/>
          <w:bottom w:w="0" w:type="dxa"/>
          <w:right w:w="0" w:type="dxa"/>
        </w:tblCellMar>
        <w:tblLook w:val="0600"/>
      </w:tblPr>
      <w:tblGrid>
        <w:gridCol w:w="2340"/>
        <w:gridCol w:w="2340"/>
        <w:gridCol w:w="2340"/>
        <w:gridCol w:w="2339"/>
      </w:tblGrid>
      <w:tr>
        <w:trPr>
          <w:tblHeader w:val="true"/>
        </w:trPr>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Target Behaviour</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Observed Frequency (4 Weeks)</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Key Antecedent Triggers</w:t>
            </w:r>
          </w:p>
        </w:tc>
        <w:tc>
          <w:tcPr>
            <w:tcW w:w="233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Immediate Consequences</w:t>
            </w:r>
          </w:p>
        </w:tc>
      </w:tr>
      <w:tr>
        <w:trPr/>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b/>
                <w:b/>
                <w:bCs/>
              </w:rPr>
            </w:pPr>
            <w:r>
              <w:rPr>
                <w:b/>
                <w:bCs/>
              </w:rPr>
              <w:t>Escape / Withdrawal</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14 incidents</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Unstructured group work, abrupt transitions, lectures &gt;30 mins</w:t>
            </w:r>
          </w:p>
        </w:tc>
        <w:tc>
          <w:tcPr>
            <w:tcW w:w="233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Verbal redirection, temporary group removal, 1-on-1 TA check-in</w:t>
            </w:r>
          </w:p>
        </w:tc>
      </w:tr>
      <w:tr>
        <w:trPr/>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b/>
                <w:b/>
                <w:bCs/>
              </w:rPr>
            </w:pPr>
            <w:r>
              <w:rPr>
                <w:b/>
                <w:bCs/>
              </w:rPr>
              <w:t>Vocal Stereotypy</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37 incidents</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Long passive lectures, low-stimulation independent writing</w:t>
            </w:r>
          </w:p>
        </w:tc>
        <w:tc>
          <w:tcPr>
            <w:tcW w:w="233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Peer laughter/staring, teacher reprimands to cease vocalisation</w:t>
            </w:r>
          </w:p>
        </w:tc>
      </w:tr>
      <w:tr>
        <w:trPr/>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b/>
                <w:b/>
                <w:bCs/>
              </w:rPr>
            </w:pPr>
            <w:r>
              <w:rPr>
                <w:b/>
                <w:bCs/>
              </w:rPr>
              <w:t>Defensive Pushing</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9 incidents</w:t>
            </w:r>
          </w:p>
        </w:tc>
        <w:tc>
          <w:tcPr>
            <w:tcW w:w="234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Sudden noise, accidental contact during line-ups</w:t>
            </w:r>
          </w:p>
        </w:tc>
        <w:tc>
          <w:tcPr>
            <w:tcW w:w="233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pBdr/>
              <w:shd w:val="clear" w:fill="auto"/>
              <w:rPr/>
            </w:pPr>
            <w:r>
              <w:rPr/>
              <w:t>Peer complaints, adult separation, front-desk time-out</w:t>
            </w:r>
          </w:p>
        </w:tc>
      </w:tr>
    </w:tbl>
    <w:p>
      <w:pPr>
        <w:pStyle w:val="3"/>
        <w:pBdr/>
        <w:shd w:val="clear" w:fill="auto"/>
        <w:rPr/>
      </w:pPr>
      <w:r>
        <w:rPr/>
        <w:t>5.2 Maintaining Reinforcement Functions</w:t>
      </w:r>
    </w:p>
    <w:p>
      <w:pPr>
        <w:pStyle w:val="Normal1"/>
        <w:pBdr/>
        <w:shd w:val="clear" w:fill="auto"/>
        <w:rPr/>
      </w:pPr>
      <w:r>
        <w:rPr/>
        <w:t>Cross-analysis of logs, interviews, and SEN documentation reveals four primary maintaining functions (MacDonald &amp; Ahearn, 2015; DeQuinzio &amp; Taylor, 2015):</w:t>
      </w:r>
    </w:p>
    <w:p>
      <w:pPr>
        <w:pStyle w:val="Normal1"/>
        <w:numPr>
          <w:ilvl w:val="0"/>
          <w:numId w:val="5"/>
        </w:numPr>
        <w:pBdr/>
        <w:shd w:val="clear" w:fill="auto"/>
        <w:ind w:left="600" w:hanging="360"/>
        <w:rPr/>
      </w:pPr>
      <w:r>
        <w:rPr>
          <w:b/>
          <w:bCs/>
        </w:rPr>
        <w:t>Automatic Sensory Regulation:</w:t>
      </w:r>
      <w:r>
        <w:rPr/>
        <w:t xml:space="preserve"> Vocal stereotypy and withdrawal provide internal self-stimulation or relieve sensory overload (Ede İleri et al., 2026; Richter et al., 2026).</w:t>
      </w:r>
    </w:p>
    <w:p>
      <w:pPr>
        <w:pStyle w:val="Normal1"/>
        <w:numPr>
          <w:ilvl w:val="0"/>
          <w:numId w:val="5"/>
        </w:numPr>
        <w:pBdr/>
        <w:shd w:val="clear" w:fill="auto"/>
        <w:ind w:left="600" w:hanging="360"/>
        <w:rPr/>
      </w:pPr>
      <w:r>
        <w:rPr>
          <w:b/>
          <w:bCs/>
        </w:rPr>
        <w:t>Negative Reinforcement (Escape):</w:t>
      </w:r>
      <w:r>
        <w:rPr/>
        <w:t xml:space="preserve"> Classroom exit removes Leo from cognitively and sensorially overwhelming group demands (Leaf et al., 2012; Iaquinta et al., 2026).</w:t>
      </w:r>
    </w:p>
    <w:p>
      <w:pPr>
        <w:pStyle w:val="Normal1"/>
        <w:numPr>
          <w:ilvl w:val="0"/>
          <w:numId w:val="5"/>
        </w:numPr>
        <w:pBdr/>
        <w:shd w:val="clear" w:fill="auto"/>
        <w:ind w:left="600" w:hanging="360"/>
        <w:rPr/>
      </w:pPr>
      <w:r>
        <w:rPr>
          <w:b/>
          <w:bCs/>
        </w:rPr>
        <w:t>Positive Reinforcement (Attention):</w:t>
      </w:r>
      <w:r>
        <w:rPr/>
        <w:t xml:space="preserve"> Teacher corrections and peer attention provide social feedback that inadvertently sustains the target behaviours (MacDonald &amp; Ahearn, 2015).</w:t>
      </w:r>
    </w:p>
    <w:p>
      <w:pPr>
        <w:pStyle w:val="Normal1"/>
        <w:numPr>
          <w:ilvl w:val="0"/>
          <w:numId w:val="5"/>
        </w:numPr>
        <w:pBdr/>
        <w:shd w:val="clear" w:fill="auto"/>
        <w:ind w:left="600" w:hanging="360"/>
        <w:rPr/>
      </w:pPr>
      <w:r>
        <w:rPr>
          <w:b/>
          <w:bCs/>
        </w:rPr>
        <w:t>Automatic Negative Reinforcement (Self-Protection):</w:t>
      </w:r>
      <w:r>
        <w:rPr/>
        <w:t xml:space="preserve"> Pushing creates immediate physical distance from uncomfortable, sudden sensory stimuli (Sensory Processing Profile Research Consortium, 2025).</w:t>
      </w:r>
    </w:p>
    <w:p>
      <w:pPr>
        <w:pStyle w:val="3"/>
        <w:pBdr/>
        <w:shd w:val="clear" w:fill="auto"/>
        <w:rPr/>
      </w:pPr>
      <w:r>
        <w:rPr/>
        <w:t>5.3 Evidence-Based Intervention Foundations</w:t>
      </w:r>
    </w:p>
    <w:p>
      <w:pPr>
        <w:pStyle w:val="Normal1"/>
        <w:pBdr/>
        <w:shd w:val="clear" w:fill="auto"/>
        <w:rPr/>
      </w:pPr>
      <w:r>
        <w:rPr/>
        <w:t>Based on the FBA findings, the proposed Behaviour Intervention Plan (BIP) centers on environmental modifications and replacement skill instruction:</w:t>
      </w:r>
    </w:p>
    <w:p>
      <w:pPr>
        <w:pStyle w:val="Normal1"/>
        <w:numPr>
          <w:ilvl w:val="0"/>
          <w:numId w:val="6"/>
        </w:numPr>
        <w:pBdr/>
        <w:shd w:val="clear" w:fill="auto"/>
        <w:ind w:left="600" w:hanging="360"/>
        <w:rPr/>
      </w:pPr>
      <w:r>
        <w:rPr>
          <w:b/>
          <w:bCs/>
        </w:rPr>
        <w:t>Scheduled Adaptive Movement:</w:t>
      </w:r>
      <w:r>
        <w:rPr/>
        <w:t xml:space="preserve"> Daily 10-minute circuit or ball-based movement breaks to provide proprioceptive input and mitigate vocal stereotypy (Richter et al., 2026).</w:t>
      </w:r>
    </w:p>
    <w:p>
      <w:pPr>
        <w:pStyle w:val="Normal1"/>
        <w:numPr>
          <w:ilvl w:val="0"/>
          <w:numId w:val="6"/>
        </w:numPr>
        <w:pBdr/>
        <w:shd w:val="clear" w:fill="auto"/>
        <w:ind w:left="600" w:hanging="360"/>
        <w:rPr/>
      </w:pPr>
      <w:r>
        <w:rPr>
          <w:b/>
          <w:bCs/>
        </w:rPr>
        <w:t>Observational Scaffolding:</w:t>
      </w:r>
      <w:r>
        <w:rPr/>
        <w:t xml:space="preserve"> Peer/video modelling prior to group tasks and transitions to clarify social expectations and calm regulation routines (Iaquinta et al., 2026; Soleiman et al., 2023).</w:t>
      </w:r>
    </w:p>
    <w:p>
      <w:pPr>
        <w:pStyle w:val="Normal1"/>
        <w:numPr>
          <w:ilvl w:val="0"/>
          <w:numId w:val="6"/>
        </w:numPr>
        <w:pBdr/>
        <w:shd w:val="clear" w:fill="auto"/>
        <w:ind w:left="600" w:hanging="360"/>
        <w:rPr/>
      </w:pPr>
      <w:r>
        <w:rPr>
          <w:b/>
          <w:bCs/>
        </w:rPr>
        <w:t>Sensory &amp; Visual Adjustments:</w:t>
      </w:r>
      <w:r>
        <w:rPr/>
        <w:t xml:space="preserve"> Provision of a quiet corner, individual visual timetables, fidget tools, and visual countdown cues (Ede İleri et al., 2026).</w:t>
      </w:r>
    </w:p>
    <w:p>
      <w:pPr>
        <w:pStyle w:val="Normal1"/>
        <w:numPr>
          <w:ilvl w:val="0"/>
          <w:numId w:val="6"/>
        </w:numPr>
        <w:pBdr/>
        <w:shd w:val="clear" w:fill="auto"/>
        <w:ind w:left="600" w:hanging="360"/>
        <w:rPr/>
      </w:pPr>
      <w:r>
        <w:rPr>
          <w:b/>
          <w:bCs/>
        </w:rPr>
        <w:t>Differential Reinforcement of Alternative Behaviours (DRA):</w:t>
      </w:r>
      <w:r>
        <w:rPr/>
        <w:t xml:space="preserve"> Systematically reinforcing explicit, appropriate help-seeking (e.g., presenting a break card) to replace withdrawal or pushing (DeQuinzio et al., 2018).</w:t>
      </w:r>
    </w:p>
    <w:p>
      <w:pPr>
        <w:pStyle w:val="2"/>
        <w:pBdr/>
        <w:shd w:val="clear" w:fill="auto"/>
        <w:rPr/>
      </w:pPr>
      <w:r>
        <w:rPr/>
        <w:t>6. Evaluation of Assessment Limitations</w:t>
      </w:r>
    </w:p>
    <w:p>
      <w:pPr>
        <w:pStyle w:val="Normal1"/>
        <w:pBdr/>
        <w:shd w:val="clear" w:fill="auto"/>
        <w:rPr/>
      </w:pPr>
      <w:r>
        <w:rPr/>
        <w:t>While this assessment triangulates multiple data sources and cross-disciplinary literature, several methodological limitations exist:</w:t>
      </w:r>
    </w:p>
    <w:p>
      <w:pPr>
        <w:pStyle w:val="Normal1"/>
        <w:numPr>
          <w:ilvl w:val="0"/>
          <w:numId w:val="7"/>
        </w:numPr>
        <w:pBdr/>
        <w:shd w:val="clear" w:fill="auto"/>
        <w:ind w:left="600" w:hanging="360"/>
        <w:rPr/>
      </w:pPr>
      <w:r>
        <w:rPr>
          <w:b/>
          <w:bCs/>
        </w:rPr>
        <w:t>Simulated Data:</w:t>
      </w:r>
      <w:r>
        <w:rPr/>
        <w:t xml:space="preserve"> The reliance on simulated observation logs represents a primary weakness; authentic clinical validation requires extended live direct observation (Spriggs et al., 2016).</w:t>
      </w:r>
    </w:p>
    <w:p>
      <w:pPr>
        <w:pStyle w:val="Normal1"/>
        <w:numPr>
          <w:ilvl w:val="0"/>
          <w:numId w:val="7"/>
        </w:numPr>
        <w:pBdr/>
        <w:shd w:val="clear" w:fill="auto"/>
        <w:ind w:left="600" w:hanging="360"/>
        <w:rPr/>
      </w:pPr>
      <w:r>
        <w:rPr>
          <w:b/>
          <w:bCs/>
        </w:rPr>
        <w:t>Setting Scope:</w:t>
      </w:r>
      <w:r>
        <w:rPr/>
        <w:t xml:space="preserve"> Observations were limited to school hours, leaving home-based sensory dysregulation dependent on retrospective parent reporting rather than structured home ABC tracking (Ede İleri et al., 2026).</w:t>
      </w:r>
    </w:p>
    <w:p>
      <w:pPr>
        <w:pStyle w:val="Normal1"/>
        <w:numPr>
          <w:ilvl w:val="0"/>
          <w:numId w:val="7"/>
        </w:numPr>
        <w:pBdr/>
        <w:shd w:val="clear" w:fill="auto"/>
        <w:ind w:left="600" w:hanging="360"/>
        <w:rPr/>
      </w:pPr>
      <w:r>
        <w:rPr>
          <w:b/>
          <w:bCs/>
        </w:rPr>
        <w:t>Inter-Rater Reliability:</w:t>
      </w:r>
      <w:r>
        <w:rPr/>
        <w:t xml:space="preserve"> Dual-independent coding was not conducted for the simulated logs, introducing potential subjective bias (DeQuinzio et al., 2018).</w:t>
      </w:r>
    </w:p>
    <w:p>
      <w:pPr>
        <w:pStyle w:val="Normal1"/>
        <w:numPr>
          <w:ilvl w:val="0"/>
          <w:numId w:val="7"/>
        </w:numPr>
        <w:pBdr/>
        <w:shd w:val="clear" w:fill="auto"/>
        <w:ind w:left="600" w:hanging="360"/>
        <w:rPr/>
      </w:pPr>
      <w:r>
        <w:rPr>
          <w:b/>
          <w:bCs/>
        </w:rPr>
        <w:t>Assessment Tools:</w:t>
      </w:r>
      <w:r>
        <w:rPr/>
        <w:t xml:space="preserve"> Sensory thresholds were evaluated via qualitative feedback rather than standardized sensory measurement checklists (Sensory Processing Profile Research Consortium, 2025).</w:t>
      </w:r>
    </w:p>
    <w:p>
      <w:pPr>
        <w:pStyle w:val="2"/>
        <w:pBdr/>
        <w:shd w:val="clear" w:fill="auto"/>
        <w:rPr/>
      </w:pPr>
      <w:r>
        <w:rPr/>
        <w:t>7. Professional Reflections &amp; Practical Implications</w:t>
      </w:r>
    </w:p>
    <w:p>
      <w:pPr>
        <w:pStyle w:val="Normal1"/>
        <w:pBdr/>
        <w:shd w:val="clear" w:fill="auto"/>
        <w:rPr/>
      </w:pPr>
      <w:r>
        <w:rPr/>
        <w:t>This case analysis underscores critical considerations for supporting neurodivergent learners:</w:t>
      </w:r>
    </w:p>
    <w:p>
      <w:pPr>
        <w:pStyle w:val="Normal1"/>
        <w:numPr>
          <w:ilvl w:val="0"/>
          <w:numId w:val="8"/>
        </w:numPr>
        <w:pBdr/>
        <w:shd w:val="clear" w:fill="auto"/>
        <w:ind w:left="600" w:hanging="360"/>
        <w:rPr/>
      </w:pPr>
      <w:r>
        <w:rPr>
          <w:b/>
          <w:bCs/>
        </w:rPr>
        <w:t>Proactive Classroom Design:</w:t>
      </w:r>
      <w:r>
        <w:rPr/>
        <w:t xml:space="preserve"> Environmental modifications, visual schedules, and transition support are significantly more effective than post-hoc verbal corrections (Lapidez, 2026).</w:t>
      </w:r>
    </w:p>
    <w:p>
      <w:pPr>
        <w:pStyle w:val="Normal1"/>
        <w:numPr>
          <w:ilvl w:val="0"/>
          <w:numId w:val="8"/>
        </w:numPr>
        <w:pBdr/>
        <w:shd w:val="clear" w:fill="auto"/>
        <w:ind w:left="600" w:hanging="360"/>
        <w:rPr/>
      </w:pPr>
      <w:r>
        <w:rPr>
          <w:b/>
          <w:bCs/>
        </w:rPr>
        <w:t>Multimodal Support Structures:</w:t>
      </w:r>
      <w:r>
        <w:rPr/>
        <w:t xml:space="preserve"> Addressing comorbid ASD, ADHD, and SPD requires a blended approach combining sensory modulation, physical movement, and social skill instruction (Richter et al., 2026; Iaquinta et al., 2026).</w:t>
      </w:r>
    </w:p>
    <w:p>
      <w:pPr>
        <w:pStyle w:val="Normal1"/>
        <w:numPr>
          <w:ilvl w:val="0"/>
          <w:numId w:val="8"/>
        </w:numPr>
        <w:pBdr/>
        <w:shd w:val="clear" w:fill="auto"/>
        <w:ind w:left="600" w:hanging="360"/>
        <w:rPr/>
      </w:pPr>
      <w:r>
        <w:rPr>
          <w:b/>
          <w:bCs/>
        </w:rPr>
        <w:t>Cyclical Monitoring:</w:t>
      </w:r>
      <w:r>
        <w:rPr/>
        <w:t xml:space="preserve"> Because intervention changes can alter behavioural functions, four-week review cycles are necessary to track progress and update support strategies (Richter et al., 2026).</w:t>
      </w:r>
    </w:p>
    <w:p>
      <w:pPr>
        <w:pStyle w:val="Normal1"/>
        <w:numPr>
          <w:ilvl w:val="0"/>
          <w:numId w:val="8"/>
        </w:numPr>
        <w:pBdr/>
        <w:shd w:val="clear" w:fill="auto"/>
        <w:ind w:left="600" w:hanging="360"/>
        <w:rPr/>
      </w:pPr>
      <w:r>
        <w:rPr>
          <w:b/>
          <w:bCs/>
        </w:rPr>
        <w:t>Home-School Alignment:</w:t>
      </w:r>
      <w:r>
        <w:rPr/>
        <w:t xml:space="preserve"> Standardised cross-context tracking strengthens skill generalization across both home and classroom settings (Parental Involvement Research Collective, 2026).</w:t>
      </w:r>
    </w:p>
    <w:p>
      <w:pPr>
        <w:pStyle w:val="Normal1"/>
        <w:numPr>
          <w:ilvl w:val="0"/>
          <w:numId w:val="8"/>
        </w:numPr>
        <w:pBdr/>
        <w:shd w:val="clear" w:fill="auto"/>
        <w:ind w:left="600" w:hanging="360"/>
        <w:rPr/>
      </w:pPr>
      <w:r>
        <w:rPr>
          <w:b/>
          <w:bCs/>
        </w:rPr>
        <w:t>Teacher Training:</w:t>
      </w:r>
      <w:r>
        <w:rPr/>
        <w:t xml:space="preserve"> Teacher preparation programs must place greater emphasis on neurodevelopmental profiles and functional behaviour methods to reduce reliance on punitive measures (General Education Teachers’ Research Team, 2024).</w:t>
      </w:r>
    </w:p>
    <w:p>
      <w:pPr>
        <w:pStyle w:val="2"/>
        <w:pBdr/>
        <w:shd w:val="clear" w:fill="auto"/>
        <w:rPr/>
      </w:pPr>
      <w:r>
        <w:rPr/>
        <w:t>8. Conclusion</w:t>
      </w:r>
    </w:p>
    <w:p>
      <w:pPr>
        <w:pStyle w:val="Normal1"/>
        <w:pBdr/>
        <w:shd w:val="clear" w:fill="auto"/>
        <w:spacing w:lineRule="auto" w:line="240" w:before="0" w:after="225"/>
        <w:rPr/>
      </w:pPr>
      <w:r>
        <w:rPr/>
        <w:t>Leo's classroom withdrawal, vocal stereotypy, and defensive physical reactions stem from sensory overload, high cognitive demands, and rapid, unsupported transitions. Evaluating these patterns through a Functional Behaviour Assessment reframes his conduct from deliberate disruption to functional coping responses. Implementing a proactive Behaviour Intervention Plan—built around structured movement, observational modelling, sensory adjustments, and alternative behaviour training—offers a research-grounded framework to foster both his academic development and well-being in an inclusive classroom.</w:t>
      </w:r>
    </w:p>
    <w:p>
      <w:pPr>
        <w:pStyle w:val="2"/>
        <w:pBdr/>
        <w:shd w:val="clear" w:fill="auto"/>
        <w:spacing w:lineRule="auto" w:line="240" w:before="0" w:after="225"/>
        <w:rPr/>
      </w:pPr>
      <w:r>
        <w:rPr/>
        <w:t>References</w:t>
      </w:r>
    </w:p>
    <w:p>
      <w:pPr>
        <w:pStyle w:val="Normal1"/>
        <w:numPr>
          <w:ilvl w:val="0"/>
          <w:numId w:val="9"/>
        </w:numPr>
        <w:pBdr/>
        <w:shd w:val="clear" w:fill="auto"/>
        <w:ind w:left="600" w:hanging="360"/>
        <w:rPr/>
      </w:pPr>
      <w:r>
        <w:rPr/>
        <w:t xml:space="preserve">DeQuinzio, J. A., &amp; Taylor, B. A. (2015). Teaching children with autism to discriminate reinforced and nonreinforced responses. </w:t>
      </w:r>
      <w:r>
        <w:rPr>
          <w:i/>
          <w:iCs/>
        </w:rPr>
        <w:t>Journal of Applied Behavior Analysis</w:t>
      </w:r>
      <w:r>
        <w:rPr/>
        <w:t xml:space="preserve">, 48(1), 38–51. </w:t>
      </w:r>
      <w:hyperlink r:id="rId2">
        <w:r>
          <w:rPr>
            <w:color w:val="0000EE"/>
            <w:u w:val="single"/>
          </w:rPr>
          <w:t>https://doi.org/10.1002/jaba.178</w:t>
        </w:r>
      </w:hyperlink>
    </w:p>
    <w:p>
      <w:pPr>
        <w:pStyle w:val="Normal1"/>
        <w:numPr>
          <w:ilvl w:val="0"/>
          <w:numId w:val="9"/>
        </w:numPr>
        <w:pBdr/>
        <w:shd w:val="clear" w:fill="auto"/>
        <w:ind w:left="600" w:hanging="360"/>
        <w:rPr/>
      </w:pPr>
      <w:r>
        <w:rPr/>
        <w:t xml:space="preserve">DeQuinzio, J. A., Taylor, B. A., &amp; Tomasi, B. J. (2018). Discrimination training for known and unknown stimuli in observational learning. </w:t>
      </w:r>
      <w:r>
        <w:rPr>
          <w:i/>
          <w:iCs/>
        </w:rPr>
        <w:t>Journal of Applied Behavior Analysis</w:t>
      </w:r>
      <w:r>
        <w:rPr/>
        <w:t xml:space="preserve">, 51(4), 802–818. </w:t>
      </w:r>
      <w:hyperlink r:id="rId3">
        <w:r>
          <w:rPr>
            <w:color w:val="0000EE"/>
            <w:u w:val="single"/>
          </w:rPr>
          <w:t>https://doi.org/10.1002/jaba.487</w:t>
        </w:r>
      </w:hyperlink>
    </w:p>
    <w:p>
      <w:pPr>
        <w:pStyle w:val="Normal1"/>
        <w:numPr>
          <w:ilvl w:val="0"/>
          <w:numId w:val="9"/>
        </w:numPr>
        <w:pBdr/>
        <w:shd w:val="clear" w:fill="auto"/>
        <w:ind w:left="600" w:hanging="360"/>
        <w:rPr/>
      </w:pPr>
      <w:r>
        <w:rPr/>
        <w:t xml:space="preserve">Duan, X., Li, L., Bai, M., Cai, K., Cao, D., &amp; Chinese Autism Brain Imaging Consortium. (2025). Charting brain growth in Chinese children with autism [Preprint]. </w:t>
      </w:r>
      <w:r>
        <w:rPr>
          <w:i/>
          <w:iCs/>
        </w:rPr>
        <w:t>medRxiv</w:t>
      </w:r>
      <w:r>
        <w:rPr/>
        <w:t xml:space="preserve">. </w:t>
      </w:r>
      <w:hyperlink r:id="rId4">
        <w:r>
          <w:rPr>
            <w:color w:val="0000EE"/>
            <w:u w:val="single"/>
          </w:rPr>
          <w:t>https://doi.org/10.21203/rs.3.rs-6449170</w:t>
        </w:r>
      </w:hyperlink>
    </w:p>
    <w:p>
      <w:pPr>
        <w:pStyle w:val="Normal1"/>
        <w:numPr>
          <w:ilvl w:val="0"/>
          <w:numId w:val="9"/>
        </w:numPr>
        <w:pBdr/>
        <w:shd w:val="clear" w:fill="auto"/>
        <w:ind w:left="600" w:hanging="360"/>
        <w:rPr/>
      </w:pPr>
      <w:r>
        <w:rPr/>
        <w:t xml:space="preserve">Ede İleri, G., Serin, Y., Akın, P., Ataş, Y., &amp; Çınar, S. (2026). Eating behaviours and sensory processing in autistic children. </w:t>
      </w:r>
      <w:r>
        <w:rPr>
          <w:i/>
          <w:iCs/>
        </w:rPr>
        <w:t>Children</w:t>
      </w:r>
      <w:r>
        <w:rPr/>
        <w:t>, 13(4), 478.</w:t>
      </w:r>
    </w:p>
    <w:p>
      <w:pPr>
        <w:pStyle w:val="Normal1"/>
        <w:numPr>
          <w:ilvl w:val="0"/>
          <w:numId w:val="9"/>
        </w:numPr>
        <w:pBdr/>
        <w:shd w:val="clear" w:fill="auto"/>
        <w:ind w:left="600" w:hanging="360"/>
        <w:rPr/>
      </w:pPr>
      <w:r>
        <w:rPr/>
        <w:t xml:space="preserve">Foti, F., Mazzone, L., Menghini, D., &amp; Vicari, S. (2014). Observational versus trial-and-error learning in autism. </w:t>
      </w:r>
      <w:r>
        <w:rPr>
          <w:i/>
          <w:iCs/>
        </w:rPr>
        <w:t>Psychological Medicine</w:t>
      </w:r>
      <w:r>
        <w:rPr/>
        <w:t>, 44(14), 2437–2447.</w:t>
      </w:r>
    </w:p>
    <w:p>
      <w:pPr>
        <w:pStyle w:val="Normal1"/>
        <w:numPr>
          <w:ilvl w:val="0"/>
          <w:numId w:val="9"/>
        </w:numPr>
        <w:pBdr/>
        <w:shd w:val="clear" w:fill="auto"/>
        <w:ind w:left="600" w:hanging="360"/>
        <w:rPr/>
      </w:pPr>
      <w:r>
        <w:rPr/>
        <w:t xml:space="preserve">General Education Teachers’ Research Team. (2024). Mainstream teachers’ barriers to ASD behaviour management. </w:t>
      </w:r>
      <w:r>
        <w:rPr>
          <w:i/>
          <w:iCs/>
        </w:rPr>
        <w:t>International Journal of Inclusive Education</w:t>
      </w:r>
      <w:r>
        <w:rPr/>
        <w:t>, 28(5), 612–629.</w:t>
      </w:r>
    </w:p>
    <w:p>
      <w:pPr>
        <w:pStyle w:val="Normal1"/>
        <w:numPr>
          <w:ilvl w:val="0"/>
          <w:numId w:val="9"/>
        </w:numPr>
        <w:pBdr/>
        <w:shd w:val="clear" w:fill="auto"/>
        <w:ind w:left="600" w:hanging="360"/>
        <w:rPr/>
      </w:pPr>
      <w:r>
        <w:rPr/>
        <w:t xml:space="preserve">Golden, M. J., Lipton, L. R., Sideridis, G., Brewster, S., &amp; Harstad, E. (2025). Cognitive development trajectories for autistic children. </w:t>
      </w:r>
      <w:r>
        <w:rPr>
          <w:i/>
          <w:iCs/>
        </w:rPr>
        <w:t>Behavioral Sciences</w:t>
      </w:r>
      <w:r>
        <w:rPr/>
        <w:t>, 15(11), 1445.</w:t>
      </w:r>
    </w:p>
    <w:p>
      <w:pPr>
        <w:pStyle w:val="Normal1"/>
        <w:numPr>
          <w:ilvl w:val="0"/>
          <w:numId w:val="9"/>
        </w:numPr>
        <w:pBdr/>
        <w:shd w:val="clear" w:fill="auto"/>
        <w:ind w:left="600" w:hanging="360"/>
        <w:rPr/>
      </w:pPr>
      <w:r>
        <w:rPr/>
        <w:t xml:space="preserve">Iaquinta, T., Pullano, L., Commodari, E., &amp; Foti, F. (2026). Observational learning in autism spectrum disorder. </w:t>
      </w:r>
      <w:r>
        <w:rPr>
          <w:i/>
          <w:iCs/>
        </w:rPr>
        <w:t>Brain Sciences</w:t>
      </w:r>
      <w:r>
        <w:rPr/>
        <w:t>, 16(4), 357.</w:t>
      </w:r>
    </w:p>
    <w:p>
      <w:pPr>
        <w:pStyle w:val="Normal1"/>
        <w:numPr>
          <w:ilvl w:val="0"/>
          <w:numId w:val="9"/>
        </w:numPr>
        <w:pBdr/>
        <w:shd w:val="clear" w:fill="auto"/>
        <w:ind w:left="600" w:hanging="360"/>
        <w:rPr/>
      </w:pPr>
      <w:r>
        <w:rPr/>
        <w:t xml:space="preserve">Lapidez, M. (2026). General primary teachers’ inclusive behaviour support practices. </w:t>
      </w:r>
      <w:r>
        <w:rPr>
          <w:i/>
          <w:iCs/>
        </w:rPr>
        <w:t>IJISRT Journal</w:t>
      </w:r>
      <w:r>
        <w:rPr/>
        <w:t>, 11(7), 22–31.</w:t>
      </w:r>
    </w:p>
    <w:p>
      <w:pPr>
        <w:pStyle w:val="Normal1"/>
        <w:numPr>
          <w:ilvl w:val="0"/>
          <w:numId w:val="9"/>
        </w:numPr>
        <w:pBdr/>
        <w:shd w:val="clear" w:fill="auto"/>
        <w:ind w:left="600" w:hanging="360"/>
        <w:rPr/>
      </w:pPr>
      <w:r>
        <w:rPr/>
        <w:t xml:space="preserve">Leaf, J. B., Oppenheim-Leaf, M., &amp; Sheldon, J. B. (2012). Observation-based preference shifting for autistic children. </w:t>
      </w:r>
      <w:r>
        <w:rPr>
          <w:i/>
          <w:iCs/>
        </w:rPr>
        <w:t>Journal of Applied Behavior Analysis</w:t>
      </w:r>
      <w:r>
        <w:rPr/>
        <w:t xml:space="preserve">, 45(3), 473–483. </w:t>
      </w:r>
      <w:hyperlink r:id="rId5">
        <w:r>
          <w:rPr>
            <w:color w:val="0000EE"/>
            <w:u w:val="single"/>
          </w:rPr>
          <w:t>https://doi.org/10.1002/jaba.63</w:t>
        </w:r>
      </w:hyperlink>
    </w:p>
    <w:p>
      <w:pPr>
        <w:pStyle w:val="Normal1"/>
        <w:numPr>
          <w:ilvl w:val="0"/>
          <w:numId w:val="9"/>
        </w:numPr>
        <w:pBdr/>
        <w:shd w:val="clear" w:fill="auto"/>
        <w:ind w:left="600" w:hanging="360"/>
        <w:rPr/>
      </w:pPr>
      <w:r>
        <w:rPr/>
        <w:t xml:space="preserve">MacDonald, J., &amp; Ahearn, W. H. (2015). Teaching observational learning skills to autistic learners. </w:t>
      </w:r>
      <w:r>
        <w:rPr>
          <w:i/>
          <w:iCs/>
        </w:rPr>
        <w:t>Journal of Applied Behavior Analysis</w:t>
      </w:r>
      <w:r>
        <w:rPr/>
        <w:t xml:space="preserve">, 48(4), 800–816. </w:t>
      </w:r>
      <w:hyperlink r:id="rId6">
        <w:r>
          <w:rPr>
            <w:color w:val="0000EE"/>
            <w:u w:val="single"/>
          </w:rPr>
          <w:t>https://doi.org/10.1002/jaba.231</w:t>
        </w:r>
      </w:hyperlink>
    </w:p>
    <w:p>
      <w:pPr>
        <w:pStyle w:val="Normal1"/>
        <w:numPr>
          <w:ilvl w:val="0"/>
          <w:numId w:val="9"/>
        </w:numPr>
        <w:pBdr/>
        <w:shd w:val="clear" w:fill="auto"/>
        <w:ind w:left="600" w:hanging="360"/>
        <w:rPr/>
      </w:pPr>
      <w:r>
        <w:rPr/>
        <w:t>MSN1083 Assignment Brief. (2026). University internal course document.</w:t>
      </w:r>
    </w:p>
    <w:p>
      <w:pPr>
        <w:pStyle w:val="Normal1"/>
        <w:numPr>
          <w:ilvl w:val="0"/>
          <w:numId w:val="9"/>
        </w:numPr>
        <w:pBdr/>
        <w:shd w:val="clear" w:fill="auto"/>
        <w:ind w:left="600" w:hanging="360"/>
        <w:rPr/>
      </w:pPr>
      <w:r>
        <w:rPr/>
        <w:t xml:space="preserve">Parental Involvement Research Collective. (2026). Home-school sensory intervention collaboration for ASD. </w:t>
      </w:r>
      <w:r>
        <w:rPr>
          <w:i/>
          <w:iCs/>
        </w:rPr>
        <w:t>Family and Community Health</w:t>
      </w:r>
      <w:r>
        <w:rPr/>
        <w:t>, 49(3), 156–168.</w:t>
      </w:r>
    </w:p>
    <w:p>
      <w:pPr>
        <w:pStyle w:val="Normal1"/>
        <w:numPr>
          <w:ilvl w:val="0"/>
          <w:numId w:val="9"/>
        </w:numPr>
        <w:pBdr/>
        <w:shd w:val="clear" w:fill="auto"/>
        <w:ind w:left="600" w:hanging="360"/>
        <w:rPr/>
      </w:pPr>
      <w:r>
        <w:rPr/>
        <w:t xml:space="preserve">Preschool Teachers’ Practice Consortium. (2025). Sensory support practices in inclusive preschools. </w:t>
      </w:r>
      <w:r>
        <w:rPr>
          <w:i/>
          <w:iCs/>
        </w:rPr>
        <w:t>Early Childhood Education Journal</w:t>
      </w:r>
      <w:r>
        <w:rPr/>
        <w:t>, 53(6), 701–715.</w:t>
      </w:r>
    </w:p>
    <w:p>
      <w:pPr>
        <w:pStyle w:val="Normal1"/>
        <w:numPr>
          <w:ilvl w:val="0"/>
          <w:numId w:val="9"/>
        </w:numPr>
        <w:pBdr/>
        <w:shd w:val="clear" w:fill="auto"/>
        <w:ind w:left="600" w:hanging="360"/>
        <w:rPr/>
      </w:pPr>
      <w:r>
        <w:rPr/>
        <w:t xml:space="preserve">Richter, M., Taylor, M. K., Lindstedt, T., &amp; Ekdahl, C. T. (2026). Iterative adaptive physical activity for autistic youth. </w:t>
      </w:r>
      <w:r>
        <w:rPr>
          <w:i/>
          <w:iCs/>
        </w:rPr>
        <w:t>Healthcare</w:t>
      </w:r>
      <w:r>
        <w:rPr/>
        <w:t>, 14(11), 1502.</w:t>
      </w:r>
    </w:p>
    <w:p>
      <w:pPr>
        <w:pStyle w:val="Normal1"/>
        <w:numPr>
          <w:ilvl w:val="0"/>
          <w:numId w:val="9"/>
        </w:numPr>
        <w:pBdr/>
        <w:shd w:val="clear" w:fill="auto"/>
        <w:ind w:left="600" w:hanging="360"/>
        <w:rPr/>
      </w:pPr>
      <w:r>
        <w:rPr/>
        <w:t xml:space="preserve">Saadatzi, M. N., Pennington, R. C., &amp; Welch, K. C. (2018). Robot-assisted observational learning for sight words. </w:t>
      </w:r>
      <w:r>
        <w:rPr>
          <w:i/>
          <w:iCs/>
        </w:rPr>
        <w:t>Journal of Autism and Developmental Disorders</w:t>
      </w:r>
      <w:r>
        <w:rPr/>
        <w:t>, 48(11), 3816–3830.</w:t>
      </w:r>
    </w:p>
    <w:p>
      <w:pPr>
        <w:pStyle w:val="Normal1"/>
        <w:numPr>
          <w:ilvl w:val="0"/>
          <w:numId w:val="9"/>
        </w:numPr>
        <w:pBdr/>
        <w:shd w:val="clear" w:fill="auto"/>
        <w:ind w:left="600" w:hanging="360"/>
        <w:rPr/>
      </w:pPr>
      <w:r>
        <w:rPr/>
        <w:t>Sensory Processing Profile Research Consortium. (2025). Standardised sensory assessment protocols for school-age autistic students.</w:t>
      </w:r>
    </w:p>
    <w:p>
      <w:pPr>
        <w:pStyle w:val="Normal1"/>
        <w:numPr>
          <w:ilvl w:val="0"/>
          <w:numId w:val="9"/>
        </w:numPr>
        <w:pBdr/>
        <w:shd w:val="clear" w:fill="auto"/>
        <w:ind w:left="600" w:hanging="360"/>
        <w:rPr/>
      </w:pPr>
      <w:r>
        <w:rPr/>
        <w:t xml:space="preserve">Sleep Disturbances Research Group. (2024). Sensory overload and sleep behaviour in autistic children. </w:t>
      </w:r>
      <w:r>
        <w:rPr>
          <w:i/>
          <w:iCs/>
        </w:rPr>
        <w:t>Journal of Developmental Disabilities</w:t>
      </w:r>
      <w:r>
        <w:rPr/>
        <w:t>, 30(2), 89–104.</w:t>
      </w:r>
    </w:p>
    <w:p>
      <w:pPr>
        <w:pStyle w:val="Normal1"/>
        <w:numPr>
          <w:ilvl w:val="0"/>
          <w:numId w:val="9"/>
        </w:numPr>
        <w:pBdr/>
        <w:shd w:val="clear" w:fill="auto"/>
        <w:ind w:left="600" w:hanging="360"/>
        <w:rPr/>
      </w:pPr>
      <w:r>
        <w:rPr/>
        <w:t xml:space="preserve">Soleiman, P., Moradi, H., &amp; Pouretemad, H. R. (2023). Robotic social environments to teach emotion recognition via observation. </w:t>
      </w:r>
      <w:r>
        <w:rPr>
          <w:i/>
          <w:iCs/>
        </w:rPr>
        <w:t>Frontiers in Robotics and AI</w:t>
      </w:r>
      <w:r>
        <w:rPr/>
        <w:t xml:space="preserve">, 10, 112876. </w:t>
      </w:r>
      <w:hyperlink r:id="rId7">
        <w:r>
          <w:rPr>
            <w:color w:val="0000EE"/>
            <w:u w:val="single"/>
          </w:rPr>
          <w:t>https://doi.org/10.3389/frobt.2023.112876</w:t>
        </w:r>
      </w:hyperlink>
    </w:p>
    <w:p>
      <w:pPr>
        <w:pStyle w:val="Normal1"/>
        <w:numPr>
          <w:ilvl w:val="0"/>
          <w:numId w:val="9"/>
        </w:numPr>
        <w:pBdr/>
        <w:shd w:val="clear" w:fill="auto"/>
        <w:ind w:left="600" w:hanging="360"/>
        <w:rPr/>
      </w:pPr>
      <w:r>
        <w:rPr/>
        <w:t xml:space="preserve">Spriggs, A. D., Gast, D. L., &amp; Knight, V. F. (2016). Video modelling for leisure skill acquisition in autism. </w:t>
      </w:r>
      <w:r>
        <w:rPr>
          <w:i/>
          <w:iCs/>
        </w:rPr>
        <w:t>Journal of Autism and Developmental Disorders</w:t>
      </w:r>
      <w:r>
        <w:rPr/>
        <w:t>, 46(9), 2845–2858.</w:t>
      </w:r>
    </w:p>
    <w:p>
      <w:pPr>
        <w:pStyle w:val="Normal1"/>
        <w:numPr>
          <w:ilvl w:val="0"/>
          <w:numId w:val="9"/>
        </w:numPr>
        <w:pBdr/>
        <w:shd w:val="clear" w:fill="auto"/>
        <w:ind w:left="600" w:hanging="360"/>
        <w:rPr/>
      </w:pPr>
      <w:r>
        <w:rPr/>
        <w:t xml:space="preserve">The Physical Activity Effect Research Group. (2026). Daily movement and repetitive behaviours in autistic adolescents with ADHD comorbidity. </w:t>
      </w:r>
      <w:r>
        <w:rPr>
          <w:i/>
          <w:iCs/>
        </w:rPr>
        <w:t>Adapted Physical Activity Quarterly</w:t>
      </w:r>
      <w:r>
        <w:rPr/>
        <w:t>, 43(2), 142–159.</w:t>
      </w:r>
    </w:p>
    <w:p>
      <w:pPr>
        <w:pStyle w:val="Normal1"/>
        <w:numPr>
          <w:ilvl w:val="0"/>
          <w:numId w:val="9"/>
        </w:numPr>
        <w:pBdr/>
        <w:shd w:val="clear" w:fill="auto"/>
        <w:ind w:left="600" w:hanging="360"/>
        <w:rPr/>
      </w:pPr>
      <w:r>
        <w:rPr/>
        <w:t xml:space="preserve">UNESCO. (2022). </w:t>
      </w:r>
      <w:r>
        <w:rPr>
          <w:i/>
          <w:iCs/>
        </w:rPr>
        <w:t>Global guidelines for inclusive education practice</w:t>
      </w:r>
      <w:r>
        <w:rPr/>
        <w:t>. UNESCO Press.</w:t>
      </w:r>
    </w:p>
    <w:sectPr>
      <w:type w:val="nextPage"/>
      <w:pgSz w:w="12240" w:h="15840"/>
      <w:pgMar w:left="1440" w:right="1440" w:gutter="0" w:header="0" w:top="1440" w:footer="0" w:bottom="1440"/>
      <w:pgNumType w:start="1" w:fmt="decimal"/>
      <w:formProt w:val="false"/>
      <w:textDirection w:val="lrTb"/>
      <w:docGrid w:type="default" w:linePitch="125"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Mono CJK SC">
    <w:charset w:val="01"/>
    <w:family w:val="roman"/>
    <w:pitch w:val="variable"/>
    <w:embedRegular r:id="rId1" w:fontKey="{01014A78-CABC-4EF0-12AC-5CD89AEFDE01}"/>
  </w:font>
  <w:font w:name="Arial">
    <w:charset w:val="01"/>
    <w:family w:val="roman"/>
    <w:pitch w:val="variable"/>
  </w:font>
  <w:font w:name="Noto Sans Mono CJK SC">
    <w:charset w:val="01"/>
    <w:family w:val="swiss"/>
    <w:pitch w:val="variable"/>
    <w:embedRegular r:id="rId2" w:fontKey="{02014A78-CABC-4EF0-12AC-5CD89AEFDE02}"/>
  </w:font>
  <w:font w:name="Georgia">
    <w:charset w:val="01"/>
    <w:family w:val="roman"/>
    <w:pitch w:val="variable"/>
  </w:font>
  <w:font w:name="Arial Unicode MS">
    <w:charset w:val="01"/>
    <w:family w:val="roman"/>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2">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3">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4">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5">
    <w:lvl w:ilvl="0">
      <w:start w:val="1"/>
      <w:numFmt w:val="decimal"/>
      <w:lvlText w:val="%1."/>
      <w:lvlJc w:val="left"/>
      <w:pPr>
        <w:tabs>
          <w:tab w:val="num" w:pos="0"/>
        </w:tabs>
        <w:ind w:left="600" w:hanging="360"/>
      </w:pPr>
      <w:rPr>
        <w:smallCaps w:val="false"/>
        <w:caps w:val="false"/>
        <w:dstrike w:val="false"/>
        <w:strike w:val="false"/>
        <w:vertAlign w:val="baseline"/>
        <w:position w:val="0"/>
        <w:sz w:val="22"/>
        <w:sz w:val="22"/>
        <w:i w:val="false"/>
        <w:u w:val="none"/>
        <w:b w:val="false"/>
        <w:shd w:fill="auto" w:val="clear"/>
        <w:szCs w:val="22"/>
        <w:iCs w:val="false"/>
        <w:bCs w:val="false"/>
        <w:rFonts w:ascii="Arial" w:hAnsi="Arial" w:eastAsia="Arial" w:cs="Arial"/>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6">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7">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8">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9">
    <w:lvl w:ilvl="0">
      <w:start w:val="1"/>
      <w:numFmt w:val="bullet"/>
      <w:lvlText w:val="●"/>
      <w:lvlJc w:val="left"/>
      <w:pPr>
        <w:tabs>
          <w:tab w:val="num" w:pos="0"/>
        </w:tabs>
        <w:ind w:left="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1">
      <w:start w:val="1"/>
      <w:numFmt w:val="bullet"/>
      <w:lvlText w:val="○"/>
      <w:lvlJc w:val="left"/>
      <w:pPr>
        <w:tabs>
          <w:tab w:val="num" w:pos="0"/>
        </w:tabs>
        <w:ind w:left="14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2">
      <w:start w:val="1"/>
      <w:numFmt w:val="bullet"/>
      <w:lvlText w:val="■"/>
      <w:lvlJc w:val="left"/>
      <w:pPr>
        <w:tabs>
          <w:tab w:val="num" w:pos="0"/>
        </w:tabs>
        <w:ind w:left="21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3">
      <w:start w:val="1"/>
      <w:numFmt w:val="bullet"/>
      <w:lvlText w:val="■"/>
      <w:lvlJc w:val="left"/>
      <w:pPr>
        <w:tabs>
          <w:tab w:val="num" w:pos="0"/>
        </w:tabs>
        <w:ind w:left="28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4">
      <w:start w:val="1"/>
      <w:numFmt w:val="bullet"/>
      <w:lvlText w:val="■"/>
      <w:lvlJc w:val="left"/>
      <w:pPr>
        <w:tabs>
          <w:tab w:val="num" w:pos="0"/>
        </w:tabs>
        <w:ind w:left="360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5">
      <w:start w:val="1"/>
      <w:numFmt w:val="bullet"/>
      <w:lvlText w:val="■"/>
      <w:lvlJc w:val="left"/>
      <w:pPr>
        <w:tabs>
          <w:tab w:val="num" w:pos="0"/>
        </w:tabs>
        <w:ind w:left="432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6">
      <w:start w:val="1"/>
      <w:numFmt w:val="bullet"/>
      <w:lvlText w:val="■"/>
      <w:lvlJc w:val="left"/>
      <w:pPr>
        <w:tabs>
          <w:tab w:val="num" w:pos="0"/>
        </w:tabs>
        <w:ind w:left="504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7">
      <w:start w:val="1"/>
      <w:numFmt w:val="bullet"/>
      <w:lvlText w:val="■"/>
      <w:lvlJc w:val="left"/>
      <w:pPr>
        <w:tabs>
          <w:tab w:val="num" w:pos="0"/>
        </w:tabs>
        <w:ind w:left="576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lvl w:ilvl="8">
      <w:start w:val="1"/>
      <w:numFmt w:val="bullet"/>
      <w:lvlText w:val="■"/>
      <w:lvlJc w:val="left"/>
      <w:pPr>
        <w:tabs>
          <w:tab w:val="num" w:pos="0"/>
        </w:tabs>
        <w:ind w:left="6480" w:hanging="360"/>
      </w:pPr>
      <w:rPr>
        <w:rFonts w:ascii="Arial" w:hAnsi="Arial" w:cs="Arial" w:hint="default"/>
        <w:smallCaps w:val="false"/>
        <w:caps w:val="false"/>
        <w:dstrike w:val="false"/>
        <w:strike w:val="false"/>
        <w:vertAlign w:val="baseline"/>
        <w:position w:val="0"/>
        <w:sz w:val="22"/>
        <w:sz w:val="22"/>
        <w:i w:val="false"/>
        <w:u w:val="none"/>
        <w:b w:val="false"/>
        <w:shd w:fill="auto" w:val="clear"/>
        <w:szCs w:val="22"/>
        <w:iCs w:val="false"/>
        <w:bCs w:val="false"/>
        <w:color w:val="000000"/>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TrueTypeFonts/>
  <w:defaultTabStop w:val="720"/>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1">
    <w:name w:val="Heading 1"/>
    <w:basedOn w:val="Normal1"/>
    <w:next w:val="Normal1"/>
    <w:qFormat/>
    <w:pPr>
      <w:pBdr/>
      <w:shd w:val="clear" w:fill="auto"/>
      <w:spacing w:lineRule="auto" w:line="240" w:before="240" w:after="240"/>
    </w:pPr>
    <w:rPr>
      <w:b/>
      <w:bCs/>
      <w:i w:val="false"/>
      <w:iCs w:val="false"/>
      <w:sz w:val="48"/>
      <w:szCs w:val="48"/>
    </w:rPr>
  </w:style>
  <w:style w:type="paragraph" w:styleId="2">
    <w:name w:val="Heading 2"/>
    <w:basedOn w:val="Normal1"/>
    <w:next w:val="Normal1"/>
    <w:qFormat/>
    <w:pPr>
      <w:pBdr/>
      <w:shd w:val="clear" w:fill="auto"/>
      <w:spacing w:lineRule="auto" w:line="240" w:before="225" w:after="225"/>
    </w:pPr>
    <w:rPr>
      <w:b/>
      <w:bCs/>
      <w:i w:val="false"/>
      <w:iCs w:val="false"/>
      <w:sz w:val="36"/>
      <w:szCs w:val="36"/>
    </w:rPr>
  </w:style>
  <w:style w:type="paragraph" w:styleId="3">
    <w:name w:val="Heading 3"/>
    <w:basedOn w:val="Normal1"/>
    <w:next w:val="Normal1"/>
    <w:qFormat/>
    <w:pPr>
      <w:pBdr/>
      <w:shd w:val="clear" w:fill="auto"/>
      <w:spacing w:lineRule="auto" w:line="240" w:before="240" w:after="240"/>
    </w:pPr>
    <w:rPr>
      <w:b/>
      <w:bCs/>
      <w:i w:val="false"/>
      <w:iCs w:val="false"/>
      <w:sz w:val="28"/>
      <w:szCs w:val="28"/>
    </w:rPr>
  </w:style>
  <w:style w:type="paragraph" w:styleId="4">
    <w:name w:val="Heading 4"/>
    <w:basedOn w:val="Normal1"/>
    <w:next w:val="Normal1"/>
    <w:qFormat/>
    <w:pPr>
      <w:pBdr/>
      <w:shd w:val="clear" w:fill="auto"/>
      <w:spacing w:lineRule="auto" w:line="240" w:before="255" w:after="255"/>
    </w:pPr>
    <w:rPr>
      <w:b/>
      <w:bCs/>
      <w:i w:val="false"/>
      <w:iCs w:val="false"/>
      <w:sz w:val="24"/>
      <w:szCs w:val="24"/>
    </w:rPr>
  </w:style>
  <w:style w:type="paragraph" w:styleId="5">
    <w:name w:val="Heading 5"/>
    <w:basedOn w:val="Normal1"/>
    <w:next w:val="Normal1"/>
    <w:qFormat/>
    <w:pPr>
      <w:pBdr/>
      <w:shd w:val="clear" w:fill="auto"/>
      <w:spacing w:lineRule="auto" w:line="240" w:before="255" w:after="255"/>
    </w:pPr>
    <w:rPr>
      <w:b/>
      <w:bCs/>
      <w:i w:val="false"/>
      <w:iCs w:val="false"/>
      <w:sz w:val="18"/>
      <w:szCs w:val="18"/>
    </w:rPr>
  </w:style>
  <w:style w:type="paragraph" w:styleId="6">
    <w:name w:val="Heading 6"/>
    <w:basedOn w:val="Normal1"/>
    <w:next w:val="Normal1"/>
    <w:qFormat/>
    <w:pPr>
      <w:pBdr/>
      <w:shd w:val="clear" w:fill="auto"/>
      <w:spacing w:lineRule="auto" w:line="240" w:before="360" w:after="360"/>
    </w:pPr>
    <w:rPr>
      <w:b/>
      <w:bCs/>
      <w:i w:val="false"/>
      <w:iCs w:val="false"/>
      <w:sz w:val="16"/>
      <w:szCs w:val="16"/>
    </w:rPr>
  </w:style>
  <w:style w:type="character" w:styleId="Internet">
    <w:name w:val="Internet 链接"/>
    <w:rPr>
      <w:color w:val="000080"/>
      <w:u w:val="single"/>
      <w:lang w:val="zxx" w:eastAsia="zxx" w:bidi="zxx"/>
    </w:rPr>
  </w:style>
  <w:style w:type="paragraph" w:styleId="Style8">
    <w:name w:val="标题样式"/>
    <w:basedOn w:val="Normal"/>
    <w:next w:val="Style9"/>
    <w:qFormat/>
    <w:pPr>
      <w:keepNext w:val="true"/>
      <w:spacing w:before="240" w:after="120"/>
    </w:pPr>
    <w:rPr>
      <w:rFonts w:ascii="Noto Sans Mono CJK SC" w:hAnsi="Noto Sans Mono CJK SC" w:eastAsia="Noto Sans Mono CJK SC" w:cs="Noto Sans Mono CJK SC"/>
      <w:sz w:val="28"/>
      <w:szCs w:val="28"/>
    </w:rPr>
  </w:style>
  <w:style w:type="paragraph" w:styleId="Style9">
    <w:name w:val="Body Text"/>
    <w:basedOn w:val="Normal"/>
    <w:pPr>
      <w:spacing w:lineRule="auto" w:line="276" w:before="0" w:after="140"/>
    </w:pPr>
    <w:rPr/>
  </w:style>
  <w:style w:type="paragraph" w:styleId="Style10">
    <w:name w:val="List"/>
    <w:basedOn w:val="Style9"/>
    <w:pPr/>
    <w:rPr/>
  </w:style>
  <w:style w:type="paragraph" w:styleId="Style11">
    <w:name w:val="Caption"/>
    <w:basedOn w:val="Normal"/>
    <w:qFormat/>
    <w:pPr>
      <w:suppressLineNumbers/>
      <w:spacing w:before="120" w:after="120"/>
    </w:pPr>
    <w:rPr>
      <w:i/>
      <w:iCs/>
      <w:sz w:val="24"/>
      <w:szCs w:val="24"/>
    </w:rPr>
  </w:style>
  <w:style w:type="paragraph" w:styleId="Style12">
    <w:name w:val="索引"/>
    <w:basedOn w:val="Normal"/>
    <w:qFormat/>
    <w:pPr>
      <w:suppressLineNumbers/>
    </w:pPr>
    <w:rPr>
      <w:lang w:val="zxx" w:eastAsia="zxx" w:bidi="zxx"/>
    </w:rPr>
  </w:style>
  <w:style w:type="paragraph" w:styleId="Normal1" w:default="1">
    <w:name w:val="LO-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Style13">
    <w:name w:val="Title"/>
    <w:basedOn w:val="Normal1"/>
    <w:next w:val="Normal1"/>
    <w:qFormat/>
    <w:pPr>
      <w:keepNext w:val="true"/>
      <w:keepLines/>
      <w:pageBreakBefore w:val="false"/>
      <w:spacing w:lineRule="auto" w:line="240" w:before="480" w:after="120"/>
    </w:pPr>
    <w:rPr>
      <w:b/>
      <w:bCs/>
      <w:sz w:val="72"/>
      <w:szCs w:val="72"/>
    </w:rPr>
  </w:style>
  <w:style w:type="paragraph" w:styleId="Style14">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002/jaba.178" TargetMode="External"/><Relationship Id="rId3" Type="http://schemas.openxmlformats.org/officeDocument/2006/relationships/hyperlink" Target="https://doi.org/10.1002/jaba.487" TargetMode="External"/><Relationship Id="rId4" Type="http://schemas.openxmlformats.org/officeDocument/2006/relationships/hyperlink" Target="https://doi.org/10.21203/rs.3.rs-6449170" TargetMode="External"/><Relationship Id="rId5" Type="http://schemas.openxmlformats.org/officeDocument/2006/relationships/hyperlink" Target="https://doi.org/10.1002/jaba.63" TargetMode="External"/><Relationship Id="rId6" Type="http://schemas.openxmlformats.org/officeDocument/2006/relationships/hyperlink" Target="https://doi.org/10.1002/jaba.231" TargetMode="External"/><Relationship Id="rId7" Type="http://schemas.openxmlformats.org/officeDocument/2006/relationships/hyperlink" Target="https://doi.org/10.3389/frobt.2023.112876"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LibreOfficeDev/7.3.1.3.0$Android_AARCH64 LibreOffice_project/</Application>
  <AppVersion>15.0000</AppVersion>
  <Pages>9</Pages>
  <Words>2353</Words>
  <Characters>15739</Characters>
  <CharactersWithSpaces>17910</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zh-CN</dc:language>
  <cp:lastModifiedBy/>
  <dcterms:modified xsi:type="dcterms:W3CDTF">2026-08-14T14:28:48Z</dcterms:modified>
  <cp:revision>1</cp:revision>
  <dc:subject/>
  <dc:title/>
</cp:coreProperties>
</file>