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120"/>
      </w:pPr>
      <w:r>
        <w:rPr>
          <w:rFonts w:ascii="Times New Roman" w:hAnsi="Times New Roman" w:eastAsia="宋体"/>
          <w:b w:val="0"/>
          <w:sz w:val="24"/>
        </w:rPr>
        <w:t>东南亚地区特殊教育与康复结合的系统性研究：新加坡、马来西亚、文莱与中国的比较分析</w:t>
      </w:r>
    </w:p>
    <w:p>
      <w:pPr>
        <w:spacing w:before="120" w:after="120"/>
      </w:pPr>
      <w:r>
        <w:rPr>
          <w:rFonts w:ascii="Times New Roman" w:hAnsi="Times New Roman" w:eastAsia="宋体"/>
          <w:b w:val="0"/>
          <w:sz w:val="24"/>
        </w:rPr>
        <w:t>摘要</w:t>
      </w:r>
    </w:p>
    <w:p>
      <w:pPr>
        <w:spacing w:before="120" w:after="120"/>
      </w:pPr>
      <w:r>
        <w:rPr>
          <w:rFonts w:ascii="Times New Roman" w:hAnsi="Times New Roman" w:eastAsia="宋体"/>
          <w:b w:val="0"/>
          <w:sz w:val="24"/>
        </w:rPr>
        <w:t>本报告系统梳理了新加坡、马来西亚、文莱和中国四个经济体在"特殊教育与医疗康复结合"领域的发展现状、制度安排与实践差异。研究发现：新加坡凭借其高度的制度整合和部门协同，在早期干预、特殊教育评估和转衔支持方面形成了相对闭环的服务体系，但其资助机制仍有门槛；马来西亚在社区康复（CBR）和多主体协作方面具有较长的历史传统，然而从中学毕业后的转衔支持严重依赖教师个人能动性，缺乏系统化工具和标准流程；文莱在宏观政策层面对融合教育有明确的国际承诺和教育部专项机构建制，但专项资金保障和最新操作细节的信息透明度严重不足；中国则在2014年《提升计划》之后将"医教结合"上升为国家政策，各地涌现了南通、上海等多样化模式，但学龄期以上特需儿童的康复资助和转衔评估工具仍处于起步阶段。整体来看，四地共同面临的核心张力是：教育系统与医疗系统的专业逻辑差异所导致的"医教两张皮"现象，以及从"学校教育"到"成人生活"之间的制度断层。</w:t>
      </w:r>
    </w:p>
    <w:p>
      <w:pPr>
        <w:spacing w:before="120" w:after="120"/>
      </w:pPr>
      <w:r>
        <w:rPr>
          <w:rFonts w:ascii="Times New Roman" w:hAnsi="Times New Roman" w:eastAsia="宋体"/>
          <w:b w:val="0"/>
          <w:sz w:val="24"/>
        </w:rPr>
        <w:t>关键词： 特殊教育；康复；转衔流程；政策支持；医教结合；早期干预；东南亚</w:t>
      </w:r>
    </w:p>
    <w:p>
      <w:pPr>
        <w:spacing w:before="120" w:after="120"/>
      </w:pPr>
      <w:r>
        <w:rPr>
          <w:rFonts w:ascii="Times New Roman" w:hAnsi="Times New Roman" w:eastAsia="宋体"/>
          <w:b w:val="0"/>
          <w:sz w:val="24"/>
        </w:rPr>
        <w:t>参考文献与证据索引</w:t>
      </w:r>
    </w:p>
    <w:p>
      <w:pPr>
        <w:spacing w:before="120" w:after="120"/>
      </w:pPr>
      <w:r>
        <w:rPr>
          <w:rFonts w:ascii="Times New Roman" w:hAnsi="Times New Roman" w:eastAsia="宋体"/>
          <w:b w:val="0"/>
          <w:sz w:val="24"/>
        </w:rPr>
        <w:t>说明：本报告所列"证据索引"中的编号对应检索工具返回的evidence编号，供核查。由于本研究涉及多轮多关键词检索，部分证据编号在本报告正文中按主题整合引用。</w:t>
      </w:r>
    </w:p>
    <w:p>
      <w:pPr>
        <w:spacing w:before="240" w:after="160"/>
      </w:pPr>
      <w:r>
        <w:rPr>
          <w:rFonts w:ascii="Times New Roman" w:hAnsi="Times New Roman" w:eastAsia="黑体"/>
          <w:b/>
          <w:sz w:val="26"/>
        </w:rPr>
        <w:t>附录A：关键概念对照表</w:t>
      </w:r>
    </w:p>
    <w:p>
      <w:pPr>
        <w:spacing w:before="240" w:after="160"/>
      </w:pPr>
      <w:r>
        <w:rPr>
          <w:rFonts w:ascii="Times New Roman" w:hAnsi="Times New Roman" w:eastAsia="黑体"/>
          <w:b/>
          <w:sz w:val="26"/>
        </w:rPr>
        <w:t>附录B：研究方法与检索说明</w:t>
      </w:r>
    </w:p>
    <w:p>
      <w:pPr>
        <w:spacing w:before="120" w:after="120"/>
      </w:pPr>
      <w:r>
        <w:rPr>
          <w:rFonts w:ascii="Times New Roman" w:hAnsi="Times New Roman" w:eastAsia="宋体"/>
          <w:b w:val="0"/>
          <w:sz w:val="24"/>
        </w:rPr>
        <w:t>本报告基于对中国知网、各经济体政府文件、世卫组织及东盟相关材料的多轮关键词检索与文献分析。检索主题涵盖：医教结合、康复资源、融合教育、社区康复（CBR）、转衔服务、特殊教育财政等。所有关键结论均标注了对应的搜索结果证据编号，无法被搜索结果支持的陈述已明确标注"未证实""信息缺失"或"弱相关"，未做推测性补全。时间跨度上，涉及"现状"的判断优先采信2025—2026年证据；2023年以前的资料仅作历史背景引用并标注年代。</w:t>
      </w:r>
    </w:p>
    <w:p>
      <w:pPr>
        <w:spacing w:before="360" w:after="240"/>
      </w:pPr>
      <w:r>
        <w:rPr>
          <w:rFonts w:ascii="Times New Roman" w:hAnsi="Times New Roman" w:eastAsia="黑体"/>
          <w:b/>
          <w:sz w:val="28"/>
        </w:rPr>
        <w:t>第一章 导论</w:t>
      </w:r>
    </w:p>
    <w:p>
      <w:pPr>
        <w:spacing w:before="240" w:after="160"/>
      </w:pPr>
      <w:r>
        <w:rPr>
          <w:rFonts w:ascii="Times New Roman" w:hAnsi="Times New Roman" w:eastAsia="黑体"/>
          <w:b/>
          <w:sz w:val="26"/>
        </w:rPr>
        <w:t>1.1 研究背景与问题意识</w:t>
      </w:r>
    </w:p>
    <w:p>
      <w:pPr>
        <w:spacing w:before="120" w:after="120"/>
      </w:pPr>
      <w:r>
        <w:rPr>
          <w:rFonts w:ascii="Times New Roman" w:hAnsi="Times New Roman" w:eastAsia="宋体"/>
          <w:b w:val="0"/>
          <w:sz w:val="24"/>
        </w:rPr>
        <w:t>特殊教育与康复的关系，本质上是一个关于"人的功能发展"的制度安排问题。传统意义上，教育系统关注认知发展、学业成就和社会化进程；医疗康复系统关注病理学层面的功能恢复、代偿和适应性技能训练。然而，对于一个脑瘫儿童而言，肌肉张力控制（医学问题）直接影响其握笔书写的能力（教育问题）；对于一个自闭症谱系儿童而言，感觉统合失调（康复治疗范畴）直接影响其课堂注意力和同伴交往（特殊教育范畴）。这种内在交织性决定了：任何将教育干预与康复治疗截然分离的制度设计，都必然产生服务断层和资源配置的低效。</w:t>
      </w:r>
    </w:p>
    <w:p>
      <w:pPr>
        <w:spacing w:before="120" w:after="120"/>
      </w:pPr>
      <w:r>
        <w:rPr>
          <w:rFonts w:ascii="Times New Roman" w:hAnsi="Times New Roman" w:eastAsia="宋体"/>
          <w:b w:val="0"/>
          <w:sz w:val="24"/>
        </w:rPr>
        <w:t>东南亚地区（本文以新加坡、马来西亚为研究重点，并辅以文莱和中国大陆作为区域对比）在近三十年中经历了从"机构化隔离"向"融合教育（inclusive education）"的理念转型。但理念转型的速度远远快于制度配套的完善。在这一过程中，"医教结合""社区康复""多学科团队""转衔服务"等概念逐渐进入政策话语，但实际执行的深度、标准和成效监测差异巨大。</w:t>
      </w:r>
    </w:p>
    <w:p>
      <w:pPr>
        <w:spacing w:before="120" w:after="120"/>
      </w:pPr>
      <w:r>
        <w:rPr>
          <w:rFonts w:ascii="Times New Roman" w:hAnsi="Times New Roman" w:eastAsia="宋体"/>
          <w:b w:val="0"/>
          <w:sz w:val="24"/>
        </w:rPr>
        <w:t>本节明确了研究范围：本文所指"特殊教育与康复结合"，涵盖五个维度——（1）特殊教育学校与医疗康复机构的正式合作机制；（2）普通学校内的融合教育支持和驻校/巡回康复资源;（3）以社区为依托的康复与教育整合项目（CBR）；（4）针对不同障碍类别的差异化干预实践；以及（5）从教育阶段到康复、就业或成人服务的转衔流程与政策制度。</w:t>
      </w:r>
    </w:p>
    <w:p>
      <w:pPr>
        <w:spacing w:before="240" w:after="160"/>
      </w:pPr>
      <w:r>
        <w:rPr>
          <w:rFonts w:ascii="Times New Roman" w:hAnsi="Times New Roman" w:eastAsia="黑体"/>
          <w:b/>
          <w:sz w:val="26"/>
        </w:rPr>
        <w:t>1.2 区域制度背景简述</w:t>
      </w:r>
    </w:p>
    <w:p>
      <w:pPr>
        <w:spacing w:before="120" w:after="120"/>
      </w:pPr>
      <w:r>
        <w:rPr>
          <w:rFonts w:ascii="Times New Roman" w:hAnsi="Times New Roman" w:eastAsia="宋体"/>
          <w:b w:val="0"/>
          <w:sz w:val="24"/>
        </w:rPr>
        <w:t>根据搜索结果所提供的背景[13]，东南亚国家在特殊教育支持体系的完善程度上可分为三个梯队：文莱与新加坡同属于经济发展水平较高、支持体系较为完整的第一梯队；马来西亚处于向更系统化支持过渡的阶段；而中国在区域差异显著的背景下，形成了从东部沿海的"医教结合"实验区到中西部欠发达地区基本服务覆盖之间的巨大梯度差[7]。值得注意的是，这种梯队划分并不完全等同于服务质量或服务理念的优劣，因为不同政治体制和财政模式下的"完善"具有不同的含义和局限。</w:t>
      </w:r>
    </w:p>
    <w:p>
      <w:pPr>
        <w:spacing w:before="360" w:after="240"/>
      </w:pPr>
      <w:r>
        <w:rPr>
          <w:rFonts w:ascii="Times New Roman" w:hAnsi="Times New Roman" w:eastAsia="黑体"/>
          <w:b/>
          <w:sz w:val="28"/>
        </w:rPr>
        <w:t>第二章 概念框架与分析方法</w:t>
      </w:r>
    </w:p>
    <w:p>
      <w:pPr>
        <w:spacing w:before="240" w:after="160"/>
      </w:pPr>
      <w:r>
        <w:rPr>
          <w:rFonts w:ascii="Times New Roman" w:hAnsi="Times New Roman" w:eastAsia="黑体"/>
          <w:b/>
          <w:sz w:val="26"/>
        </w:rPr>
        <w:t>2.1 "医教结合"的学理基础</w:t>
      </w:r>
    </w:p>
    <w:p>
      <w:pPr>
        <w:spacing w:before="120" w:after="120"/>
      </w:pPr>
      <w:r>
        <w:rPr>
          <w:rFonts w:ascii="Times New Roman" w:hAnsi="Times New Roman" w:eastAsia="宋体"/>
          <w:b w:val="0"/>
          <w:sz w:val="24"/>
        </w:rPr>
        <w:t>在中国政策语境中，"医教结合"作为一个专有概念被明确提出，旨在打破特殊教育以往的封闭体系。根据[2]，这一理念的实际操作包含三个层次：第一，通过教育改革改变师资培养模式，使特教师资具备康复基础知识；第二，建立教育与卫生行政部门及残疾人组织之间的协作规范；第三，在特殊教育学校内部建立符合卫生标准的康复中心。从学理上看，这一"中国式"表述与国际文献中的"跨学科服务模式（transdisciplinary service model）"有某种对应关系，但中国的"医教结合"在实践中往往被简化为"学校引进康复设备+聘请康复技师"，对真正的跨学科评估和联合干预方案设计的深度不够[8]。</w:t>
      </w:r>
    </w:p>
    <w:p>
      <w:pPr>
        <w:spacing w:before="120" w:after="120"/>
      </w:pPr>
      <w:r>
        <w:rPr>
          <w:rFonts w:ascii="Times New Roman" w:hAnsi="Times New Roman" w:eastAsia="宋体"/>
          <w:b w:val="0"/>
          <w:sz w:val="24"/>
        </w:rPr>
        <w:t>相比之下，新加坡的制度逻辑更接近"多机构协作的服务整合"（multi-agency service integration），其特点是教育与医疗部门在社会发展部（现为儿童发展事务相关机构）的统筹下各自承担明确职能，通过标准化评估流程和中转机制连接[73][1]。马来西亚的模式则具有较强的"非政府组织补位"特征，即在政府公共服务的空白地带，由NGO、宗教慈善组织和社区自发组织承担了大量康复与特教功能[74][5]。</w:t>
      </w:r>
    </w:p>
    <w:p>
      <w:pPr>
        <w:spacing w:before="240" w:after="160"/>
      </w:pPr>
      <w:r>
        <w:rPr>
          <w:rFonts w:ascii="Times New Roman" w:hAnsi="Times New Roman" w:eastAsia="黑体"/>
          <w:b/>
          <w:sz w:val="26"/>
        </w:rPr>
        <w:t>2.2 社区康复（CBR）的理论定位</w:t>
      </w:r>
    </w:p>
    <w:p>
      <w:pPr>
        <w:spacing w:before="120" w:after="120"/>
      </w:pPr>
      <w:r>
        <w:rPr>
          <w:rFonts w:ascii="Times New Roman" w:hAnsi="Times New Roman" w:eastAsia="宋体"/>
          <w:b w:val="0"/>
          <w:sz w:val="24"/>
        </w:rPr>
        <w:t>社区康复（Community-Based Rehabilitation, CBR）在世界卫生组织的框架下，被定义为一套以社区为平台、以残疾人及其家庭为中心、整合健康、教育、生计和社会参与的多部门策略。在本研究所涉及的四个经济体中，CBR的定位差异显著。马来西亚由社会福利部门（JKM）设立社区康复中心，优先服务于不符合主流学校入学条件的特殊需求儿童[41]，这实际上将CBR定位为一种"门槛之外的兜底服务"。文莱在1990年代就开始了CBR实践，其核心特点是父母参与、医疗转介和社区资源利用[12]，但由于信息的年代久远，难以判断其现行运行状态。中国在南通模式中有意识地建构了"校内康复、送教上门、社区康复"三种并行模式[6]，这在理念上与国际CBR框架最为接近，但实际执行中，社区康复环节往往是最薄弱的。</w:t>
      </w:r>
    </w:p>
    <w:p>
      <w:pPr>
        <w:spacing w:before="360" w:after="240"/>
      </w:pPr>
      <w:r>
        <w:rPr>
          <w:rFonts w:ascii="Times New Roman" w:hAnsi="Times New Roman" w:eastAsia="黑体"/>
          <w:b/>
          <w:sz w:val="28"/>
        </w:rPr>
        <w:t>第三章 特殊教育学校与医疗康复机构的合作机制</w:t>
      </w:r>
    </w:p>
    <w:p>
      <w:pPr>
        <w:spacing w:before="240" w:after="160"/>
      </w:pPr>
      <w:r>
        <w:rPr>
          <w:rFonts w:ascii="Times New Roman" w:hAnsi="Times New Roman" w:eastAsia="黑体"/>
          <w:b/>
          <w:sz w:val="26"/>
        </w:rPr>
        <w:t>3.1 新加坡：制度化整合的典范</w:t>
      </w:r>
    </w:p>
    <w:p>
      <w:pPr>
        <w:spacing w:before="120" w:after="120"/>
      </w:pPr>
      <w:r>
        <w:rPr>
          <w:rFonts w:ascii="Times New Roman" w:hAnsi="Times New Roman" w:eastAsia="宋体"/>
          <w:b w:val="0"/>
          <w:sz w:val="24"/>
        </w:rPr>
        <w:t>新加坡的特殊教育学校（SPED schools）与医疗康复机构之间的合作，呈现出较为完整的制度化特征。根据[73]，新加坡教育部（MOE）与国立大学医院、心理健康研究所（Institute of Mental Health）和社区服务理事会等机构已经建立了特殊儿童"评估—干预—安置"的综合流程。这意味着，一个疑似存在发展障碍的儿童，进入新加坡特殊教育或早期干预体系的第一步，不是家长自行寻求学校接纳，而是通过标准化的跨机构评估来确定其支持需求和适合的安置类型。</w:t>
      </w:r>
    </w:p>
    <w:p>
      <w:pPr>
        <w:spacing w:before="120" w:after="120"/>
      </w:pPr>
      <w:r>
        <w:rPr>
          <w:rFonts w:ascii="Times New Roman" w:hAnsi="Times New Roman" w:eastAsia="宋体"/>
          <w:b w:val="0"/>
          <w:sz w:val="24"/>
        </w:rPr>
        <w:t>[82]进一步确认了一个关键的操作细节：特教学校（SPED）学生入学需要心理学家进行正式评估并出具医疗报告。这一要求确保了"医学诊断"与"教育安置"之间存在正式的制度性连接点——而非仅凭教师主观判断或家长意愿。值得注意的是，2020年新加坡将所有早期干预服务整合进学前教育体系的政策[3]，这是"医教结合"向"教康融通"升级的一个重要标志：早期干预中心（EIPIC）不再被视作游离于主流教育体系之外的"医疗附属品"，而是作为学前教育体系的一个有机组成部分，这从制度逻辑上打破了早期康复干预与学前教育的部门壁垒。</w:t>
      </w:r>
    </w:p>
    <w:p>
      <w:pPr>
        <w:spacing w:before="120" w:after="120"/>
      </w:pPr>
      <w:r>
        <w:rPr>
          <w:rFonts w:ascii="Times New Roman" w:hAnsi="Times New Roman" w:eastAsia="宋体"/>
          <w:b w:val="0"/>
          <w:sz w:val="24"/>
        </w:rPr>
        <w:t>然而，这种合作机制的成功运行依赖于高度的制度化资源投入。根据[2]，新加坡的体系中还涉及特殊教育学校与康复中心之间的紧密协作，为运动障碍青少年提供全程支持。但需要注意的是，这种协作模式在新加坡国内运作良好，其辐射到跨国或区域内双边合作的层面则几乎为零——根据搜索结果的明确结论，不存在新加坡与马来西亚之间的"跨界/跨国"特殊教育与康复合作的具体政策机制或联合项目，所谓"跨界"均指国内部门间或机构间的合作（搜索结论第一部分）。</w:t>
      </w:r>
    </w:p>
    <w:p>
      <w:pPr>
        <w:spacing w:before="240" w:after="160"/>
      </w:pPr>
      <w:r>
        <w:rPr>
          <w:rFonts w:ascii="Times New Roman" w:hAnsi="Times New Roman" w:eastAsia="黑体"/>
          <w:b/>
          <w:sz w:val="26"/>
        </w:rPr>
        <w:t>3.2 马来西亚：政府框架下的NGO补位</w:t>
      </w:r>
    </w:p>
    <w:p>
      <w:pPr>
        <w:spacing w:before="120" w:after="120"/>
      </w:pPr>
      <w:r>
        <w:rPr>
          <w:rFonts w:ascii="Times New Roman" w:hAnsi="Times New Roman" w:eastAsia="宋体"/>
          <w:b w:val="0"/>
          <w:sz w:val="24"/>
        </w:rPr>
        <w:t>马来西亚的教育部通过两种主要途径提供特教服务：一是专门的视障学校和听障学校，二是在主流学校中设置特殊班级[74]。但马来西亚的"医教结合"合作模式的显著特征是：教育部层面的服务供给（特殊班和特教学校）与NGO、企业和社会资源之间存在一种功能互补的非正式安排。教育部与NGO、企业合作开展培训、研讨会和包容性项目[74]，这意味着与非政府组织的合作已成为马来西亚特教服务体系的常规组成部分，而非临时性、项目制的补充。</w:t>
      </w:r>
    </w:p>
    <w:p>
      <w:pPr>
        <w:spacing w:before="120" w:after="120"/>
      </w:pPr>
      <w:r>
        <w:rPr>
          <w:rFonts w:ascii="Times New Roman" w:hAnsi="Times New Roman" w:eastAsia="宋体"/>
          <w:b w:val="0"/>
          <w:sz w:val="24"/>
        </w:rPr>
        <w:t>在康复机构方面，社区康复中心（CBR）由政府社会福利部门（JKM）建立[5][41]其服务对象是"不符合主流学校入学条件的特殊需求儿童"。这一设定具有结构性意义：马来西亚的教育安置体系实际上将特殊需求儿童分为"可进入主流特殊班/特教学校者"和"不具备入学条件者"两类，前者进入教育部体系，后者进入社会福利部门的CBR体系。这种二分法虽然确保了服务覆盖的广度，但也在制度上制造了一个"教育—康复"之间的断层——CBR体系中的"教育"成分往往被弱化，而教育体系中的"康复"成分也缺乏制度性保障。</w:t>
      </w:r>
    </w:p>
    <w:p>
      <w:pPr>
        <w:spacing w:before="120" w:after="120"/>
      </w:pPr>
      <w:r>
        <w:rPr>
          <w:rFonts w:ascii="Times New Roman" w:hAnsi="Times New Roman" w:eastAsia="宋体"/>
          <w:b w:val="0"/>
          <w:sz w:val="24"/>
        </w:rPr>
        <w:t>此外，马来西亚存在一些由家长发起并运营的社区早期干预项目，如"Wings Melaka"[48]。该案例表明，当公共部门供给不足或反应迟缓时，马来西亚的家长群体有能力组织替代性服务，并且在市场化论证中获得了较好的"服务提供改善"评价。但这种模式的可持续性高度依赖家长组织的运营能力和资源获取渠道，难以形成可复制的制度模板。</w:t>
      </w:r>
    </w:p>
    <w:p>
      <w:pPr>
        <w:spacing w:before="240" w:after="160"/>
      </w:pPr>
      <w:r>
        <w:rPr>
          <w:rFonts w:ascii="Times New Roman" w:hAnsi="Times New Roman" w:eastAsia="黑体"/>
          <w:b/>
          <w:sz w:val="26"/>
        </w:rPr>
        <w:t>3.3 文莱：卫生部平台的早期干预与社会福利的社区支持</w:t>
      </w:r>
    </w:p>
    <w:p>
      <w:pPr>
        <w:spacing w:before="120" w:after="120"/>
      </w:pPr>
      <w:r>
        <w:rPr>
          <w:rFonts w:ascii="Times New Roman" w:hAnsi="Times New Roman" w:eastAsia="宋体"/>
          <w:b w:val="0"/>
          <w:sz w:val="24"/>
        </w:rPr>
        <w:t>文莱的早期干预服务具有一个重要特征：其早期发现和介入服务的平台是由卫生部（Ministry of Health）而非教育部提供的。根据[77]，文莱通过卫生部实施的小儿发展中心（Child Development Centre）和小儿科，为NGO（如针对自闭症的SMARTER Brunei）提供平台，开展自闭症儿童的早期发现及其他发育障碍的介入服务。这一安排意味着，在文莱的服务链条中，"早期识别—诊断—初步干预"阶段是由卫生系统主导的，教育系统在儿童学龄前阶段的介入相对后置。这种"卫生先行、教育后进"的时序安排，在理论上有利于保证医学诊断的权威性，但也可能导致教育系统在早期阶段"缺位"的后果——当儿童进入小学时，教育系统需要"接壤"来自卫生系统的信息和干预成果，而这一"接壤"过程是否顺畅，取决于两部门之间的信息传递和协作机制是否成熟。</w:t>
      </w:r>
    </w:p>
    <w:p>
      <w:pPr>
        <w:spacing w:before="120" w:after="120"/>
      </w:pPr>
      <w:r>
        <w:rPr>
          <w:rFonts w:ascii="Times New Roman" w:hAnsi="Times New Roman" w:eastAsia="宋体"/>
          <w:b w:val="0"/>
          <w:sz w:val="24"/>
        </w:rPr>
        <w:t>文莱的社区服务层面（虽然信息来自1990年代末，需谨慎引用）展示了较为全面的福利安排，涵盖家庭援助、居家改造、出行驾驶支持、休闲娱乐活动等[12]。其核心理念被表述为"给予机会"（giving opportunities）而非"怜悯"（pity），并强调家庭参与和公众教育。这一理念虽然在1990年代即已提出，但从政策话语的角度看，其先进性与当代国际残疾人权利话语（《联合国残疾人权利公约》所强调的"基于权利"而非"基于慈善"的框架）具有较高的吻合度。</w:t>
      </w:r>
    </w:p>
    <w:p>
      <w:pPr>
        <w:spacing w:before="240" w:after="160"/>
      </w:pPr>
      <w:r>
        <w:rPr>
          <w:rFonts w:ascii="Times New Roman" w:hAnsi="Times New Roman" w:eastAsia="黑体"/>
          <w:b/>
          <w:sz w:val="26"/>
        </w:rPr>
        <w:t>3.4 中国："医教结合"的政策演进与实践分化</w:t>
      </w:r>
    </w:p>
    <w:p>
      <w:pPr>
        <w:spacing w:before="120" w:after="120"/>
      </w:pPr>
      <w:r>
        <w:rPr>
          <w:rFonts w:ascii="Times New Roman" w:hAnsi="Times New Roman" w:eastAsia="宋体"/>
          <w:b w:val="0"/>
          <w:sz w:val="24"/>
        </w:rPr>
        <w:t>中国的"医教结合"作为一个明确的政策概念，其制度化起点可以追溯到2014年。2014年的《提升计划》（2014—2016年）明确提出要形成"布局合理、学段衔接、普职融通、医教结合"的特殊教育体系[75][75]。这一表述的实质是将"医教结合"从一个学术倡议或地方实践上升为国家政策目标，标志着特殊教育政策的重心从"保障入学机会"向"提升服务质量"转型。</w:t>
      </w:r>
    </w:p>
    <w:p>
      <w:pPr>
        <w:spacing w:before="120" w:after="120"/>
      </w:pPr>
      <w:r>
        <w:rPr>
          <w:rFonts w:ascii="Times New Roman" w:hAnsi="Times New Roman" w:eastAsia="宋体"/>
          <w:b w:val="0"/>
          <w:sz w:val="24"/>
        </w:rPr>
        <w:t>在实践层面，中国各地形成了显著分化的模式。根据搜索结果，最具代表性的包括：</w:t>
      </w:r>
    </w:p>
    <w:p>
      <w:pPr>
        <w:spacing w:before="120" w:after="120"/>
      </w:pPr>
      <w:r>
        <w:rPr>
          <w:rFonts w:ascii="Times New Roman" w:hAnsi="Times New Roman" w:eastAsia="宋体"/>
          <w:b w:val="0"/>
          <w:sz w:val="24"/>
        </w:rPr>
        <w:t>南通模式：南通通过"校内康复、送教上门、社区康复"三种并行模式来落实医教结合，并建立了基于学校的康复训练中心和完整的课程体系[6]。这一模式的显著特点在于其系统性和多层性——它不将"医教结合"局限于学校围墙之内，而是将服务延伸到家庭（送教上门）和社区（社区康复），形成了一个较为完整的覆盖链条。</w:t>
      </w:r>
    </w:p>
    <w:p>
      <w:pPr>
        <w:spacing w:before="120" w:after="120"/>
      </w:pPr>
      <w:r>
        <w:rPr>
          <w:rFonts w:ascii="Times New Roman" w:hAnsi="Times New Roman" w:eastAsia="宋体"/>
          <w:b w:val="0"/>
          <w:sz w:val="24"/>
        </w:rPr>
        <w:t>上海模式：上海作为直辖市和实验区，各区县的医教结合形式各异，但总体上跨部门医教结合已经启动，实验区在体系建设和保障措施上优于其他地区，尤其值得关注的是卫生部门的参与更加积极[7]。这说明，中国"医教结合"的成败很大程度上取决于卫生部门是否真正投入资源和人员，而不仅仅是教育部门的单方面推动。</w:t>
      </w:r>
    </w:p>
    <w:p>
      <w:pPr>
        <w:spacing w:before="120" w:after="120"/>
      </w:pPr>
      <w:r>
        <w:rPr>
          <w:rFonts w:ascii="Times New Roman" w:hAnsi="Times New Roman" w:eastAsia="宋体"/>
          <w:b w:val="0"/>
          <w:sz w:val="24"/>
        </w:rPr>
        <w:t>厦门、宝山、哈尔滨等地的共同特征：硬件上配套"医教结合功能室"和设备，人员上注重"医教结合人才"的培养[8]。但这种"硬件+人员"的模式在许多地方的实践中有流于形式的风险——功能室建起来了、设备买进来了，但如果没有与医疗机构的实质性协作协议和标准化的干预流程，所谓的"医教结合"可能退化为"学校自己搞康复"。</w:t>
      </w:r>
    </w:p>
    <w:p>
      <w:pPr>
        <w:spacing w:before="120" w:after="120"/>
      </w:pPr>
      <w:r>
        <w:rPr>
          <w:rFonts w:ascii="Times New Roman" w:hAnsi="Times New Roman" w:eastAsia="宋体"/>
          <w:b w:val="0"/>
          <w:sz w:val="24"/>
        </w:rPr>
        <w:t>在"订制性"教学的微观层面，针对中重度智力障碍、脑瘫和自闭症学生，有实践尝试通过多学科融合来实施个性化教学，进行缺陷补偿和潜能开发[11]。课程设计强调以教学为中心，合理安排康复训练时间，并组建包含医护、教育者和社会工作者的团队[9][10]。然而，这些"团队"在多大程度上是实质性的多学科协作（各专业人员共同评估、共同制定干预方案、定期沟通调整），在多大程度上只是名义上的"名单存在"，搜索结果无法提供更深入的证据。</w:t>
      </w:r>
    </w:p>
    <w:p>
      <w:pPr>
        <w:spacing w:before="360" w:after="240"/>
      </w:pPr>
      <w:r>
        <w:rPr>
          <w:rFonts w:ascii="Times New Roman" w:hAnsi="Times New Roman" w:eastAsia="黑体"/>
          <w:b/>
          <w:sz w:val="28"/>
        </w:rPr>
        <w:t>第四章 普通学校内的融合教育支持与康复资源</w:t>
      </w:r>
    </w:p>
    <w:p>
      <w:pPr>
        <w:spacing w:before="240" w:after="160"/>
      </w:pPr>
      <w:r>
        <w:rPr>
          <w:rFonts w:ascii="Times New Roman" w:hAnsi="Times New Roman" w:eastAsia="黑体"/>
          <w:b/>
          <w:sz w:val="26"/>
        </w:rPr>
        <w:t>4.1 融合教育的制度形态差异</w:t>
      </w:r>
    </w:p>
    <w:p>
      <w:pPr>
        <w:spacing w:before="120" w:after="120"/>
      </w:pPr>
      <w:r>
        <w:rPr>
          <w:rFonts w:ascii="Times New Roman" w:hAnsi="Times New Roman" w:eastAsia="宋体"/>
          <w:b w:val="0"/>
          <w:sz w:val="24"/>
        </w:rPr>
        <w:t>融合教育（inclusive education）在四地的制度形态存在根本性差异。新加坡虽然在全球教育排名中名列前茅，但其特殊教育体系与主流教育体系在结构上是并行的：主流学校拥有自己的融合支持体系，而特殊教育学校（SPED）则构成了一个相对独立的轨道。这种"并行体系"有其历史原因和现实合理性，但也意味着融合教育的深度和广度受限于主流学校内部的资源配置意愿。</w:t>
      </w:r>
    </w:p>
    <w:p>
      <w:pPr>
        <w:spacing w:before="120" w:after="120"/>
      </w:pPr>
      <w:r>
        <w:rPr>
          <w:rFonts w:ascii="Times New Roman" w:hAnsi="Times New Roman" w:eastAsia="宋体"/>
          <w:b w:val="0"/>
          <w:sz w:val="24"/>
        </w:rPr>
        <w:t>马来西亚的融合形态更加多样：从全隔离的特殊学校（视障学校、听障学校），到主流学校中的特殊班，再到主流班级中的融合学生，形成了一个梯度化的安置光谱[74]。这种梯度光谱在理论上可以为不同障碍程度的学生提供"最小限制环境"的匹配，但在实践中也面临着"特殊班学生被污名化"和"主流班级特需学生支持不足"的双重挑战。</w:t>
      </w:r>
    </w:p>
    <w:p>
      <w:pPr>
        <w:spacing w:before="240" w:after="160"/>
      </w:pPr>
      <w:r>
        <w:rPr>
          <w:rFonts w:ascii="Times New Roman" w:hAnsi="Times New Roman" w:eastAsia="黑体"/>
          <w:b/>
          <w:sz w:val="26"/>
        </w:rPr>
        <w:t>4.2 文莱的SENCO/SENA支持网络</w:t>
      </w:r>
    </w:p>
    <w:p>
      <w:pPr>
        <w:spacing w:before="120" w:after="120"/>
      </w:pPr>
      <w:r>
        <w:rPr>
          <w:rFonts w:ascii="Times New Roman" w:hAnsi="Times New Roman" w:eastAsia="宋体"/>
          <w:b w:val="0"/>
          <w:sz w:val="24"/>
        </w:rPr>
        <w:t>文莱的融合教育支持体系具有一个值得关注的结构性特征：在主流学校内部设置了特殊教育协调员（SENCO）和特殊教育辅助教师（SENA）的专门角色[66]。这一安排起源于1994年文莱教育部成立的特殊教育单位（SEU），1997年教育部正式采纳包容教育政策，通过修订国家教育体系（SPN-21）为特殊需求学生提供专门路径。从制度设计的角度看，SENCO/SENA的职能设置意味着文莱的融合教育并非仅停留在"让特需学生进入普通班级"的物理性融合，而是试图在主流学校内部建立一套持续的、有人力配置的组织支持网络——这恰恰是许多东亚和东南亚国家融合教育中最薄弱的环节。</w:t>
      </w:r>
    </w:p>
    <w:p>
      <w:pPr>
        <w:spacing w:before="120" w:after="120"/>
      </w:pPr>
      <w:r>
        <w:rPr>
          <w:rFonts w:ascii="Times New Roman" w:hAnsi="Times New Roman" w:eastAsia="宋体"/>
          <w:b w:val="0"/>
          <w:sz w:val="24"/>
        </w:rPr>
        <w:t>然而，必须指出的是，关于SENCO和SENA的具体配置比例、专业资质要求、工作职责边界以及与外部医疗康复机构的对接流程，搜索结果没有提供更细化的信息。这使得我们难以判断这一支持网络在实践中的实际运作效果。</w:t>
      </w:r>
    </w:p>
    <w:p>
      <w:pPr>
        <w:spacing w:before="240" w:after="160"/>
      </w:pPr>
      <w:r>
        <w:rPr>
          <w:rFonts w:ascii="Times New Roman" w:hAnsi="Times New Roman" w:eastAsia="黑体"/>
          <w:b/>
          <w:sz w:val="26"/>
        </w:rPr>
        <w:t>4.3 中国普通学校资源教室的"标准困境"</w:t>
      </w:r>
    </w:p>
    <w:p>
      <w:pPr>
        <w:spacing w:before="120" w:after="120"/>
      </w:pPr>
      <w:r>
        <w:rPr>
          <w:rFonts w:ascii="Times New Roman" w:hAnsi="Times New Roman" w:eastAsia="宋体"/>
          <w:b w:val="0"/>
          <w:sz w:val="24"/>
        </w:rPr>
        <w:t>中国在融合教育"资源教室"建设方面，面临的核心问题是法定配置标准的不确定性。根据搜索结果，虽然某些地方性实践（如幼儿园IEP团队）中包含了"巡回指导教师"和"相关的康复治疗师"[81][81]但这属于地方性或园所级的操作实践，并无国家层面的法定编制标准可依。[86]提到的《中国康复治疗师岗位标准编制指南》所针对的是医院或通用康复机构，而非中小学驻校岗位。这与本研究所进行的专项查询结果一致：关于"中国大陆与新加坡普通中小学依法配备巡回康复指导师或驻校康复治疗师的法定编制标准"这一具体问题，搜索结果未能提供任何权威的政策文件依据。</w:t>
      </w:r>
    </w:p>
    <w:p>
      <w:pPr>
        <w:spacing w:before="120" w:after="120"/>
      </w:pPr>
      <w:r>
        <w:rPr>
          <w:rFonts w:ascii="Times New Roman" w:hAnsi="Times New Roman" w:eastAsia="宋体"/>
          <w:b w:val="0"/>
          <w:sz w:val="24"/>
        </w:rPr>
        <w:t>这一"标准缺失"并非偶然。它反映了中国特殊教育政策的一个深层困境：在国家层面，"医教结合"作为政策口号被广泛宣传，但具体的资源配置标准（如多少学生配一名巡回康复师、驻校康复师的资质要求）则被下放至省、市甚至区县的自由裁量空间，导致不同地区之间的资源差距被进一步放大。北京的《儿童引导式教育康复技术规范》[47]虽然提供了人员、设备及环境要求的技术规范，但其适用背景是儿童福利机构（孤儿/残障儿童），而非普通中小学资源教室。换言之，中国的特殊教育与康复结合在"机构内"（特教学校、福利机构）的标准建设要远早于"普通学校内"的标准建设。</w:t>
      </w:r>
    </w:p>
    <w:p>
      <w:pPr>
        <w:spacing w:before="240" w:after="160"/>
      </w:pPr>
      <w:r>
        <w:rPr>
          <w:rFonts w:ascii="Times New Roman" w:hAnsi="Times New Roman" w:eastAsia="黑体"/>
          <w:b/>
          <w:sz w:val="26"/>
        </w:rPr>
        <w:t>4.4 医疗处方到IEP的转化：一个普遍的制度空白</w:t>
      </w:r>
    </w:p>
    <w:p>
      <w:pPr>
        <w:spacing w:before="120" w:after="120"/>
      </w:pPr>
      <w:r>
        <w:rPr>
          <w:rFonts w:ascii="Times New Roman" w:hAnsi="Times New Roman" w:eastAsia="宋体"/>
          <w:b w:val="0"/>
          <w:sz w:val="24"/>
        </w:rPr>
        <w:t>本研究的多轮查询均明确指出一个关键的制度空白：从医疗康复处方到校内个别化教育计划（IEP）的量化训练目标转化，缺乏标准化的操作规范。搜索结果中，IEP团队的构成被反复提及（专业医生、巡回指导教师、融合教师、家长等）[81][81][87]目标陈述的可观察性和可测量性也被强调[30]，但"医院的具体医疗处方如何转化为校内IEP中的量化训练目标"这一核心环节，没有在任何搜索结果中找到具体的操作规范或标准模板。这意味着，实践中这一转化过程高度依赖个别教师的专业判断和医教双方的人际沟通，制度化的保障机制尚付阙如——这在新加坡、马来西亚和中国三地均如此。</w:t>
      </w:r>
    </w:p>
    <w:p>
      <w:pPr>
        <w:spacing w:before="360" w:after="240"/>
      </w:pPr>
      <w:r>
        <w:rPr>
          <w:rFonts w:ascii="Times New Roman" w:hAnsi="Times New Roman" w:eastAsia="黑体"/>
          <w:b/>
          <w:sz w:val="28"/>
        </w:rPr>
        <w:t>第五章 社区康复（CBR）：</w:t>
      </w:r>
    </w:p>
    <w:p>
      <w:pPr>
        <w:spacing w:before="120" w:after="120"/>
      </w:pPr>
      <w:r>
        <w:rPr>
          <w:rFonts w:ascii="Times New Roman" w:hAnsi="Times New Roman" w:eastAsia="宋体"/>
          <w:b w:val="0"/>
          <w:sz w:val="24"/>
        </w:rPr>
        <w:t>依托社区的教育与康复整合</w:t>
      </w:r>
    </w:p>
    <w:p>
      <w:pPr>
        <w:spacing w:before="240" w:after="160"/>
      </w:pPr>
      <w:r>
        <w:rPr>
          <w:rFonts w:ascii="Times New Roman" w:hAnsi="Times New Roman" w:eastAsia="黑体"/>
          <w:b/>
          <w:sz w:val="26"/>
        </w:rPr>
        <w:t>5.1 新加坡的社区康复框架</w:t>
      </w:r>
    </w:p>
    <w:p>
      <w:pPr>
        <w:spacing w:before="120" w:after="120"/>
      </w:pPr>
      <w:r>
        <w:rPr>
          <w:rFonts w:ascii="Times New Roman" w:hAnsi="Times New Roman" w:eastAsia="宋体"/>
          <w:b w:val="0"/>
          <w:sz w:val="24"/>
        </w:rPr>
        <w:t>新加坡在残疾支持服务中逐步构建了社区导向的康复支持体系。虽然新加坡历来以"机构化服务"见长，但近年来其政策重心正在向社区方向倾斜。根据[2]，新加坡的特殊教育学校与康复中心的协作关系已经涵盖了运动障碍青少年，这意味着康复服务并不完全依赖于医疗机构的门诊模式。在社会家庭发展部（MSF）的职能架构下，部分SNTC（特殊技术或设备）服务的补贴比例高达90%—100%，涵盖一次性设置费和年度预激活费等[38]——这种高比例补贴直接服务于"让康复服务走出医院、进入学校和社区"的政策目标。</w:t>
      </w:r>
    </w:p>
    <w:p>
      <w:pPr>
        <w:spacing w:before="120" w:after="120"/>
      </w:pPr>
      <w:r>
        <w:rPr>
          <w:rFonts w:ascii="Times New Roman" w:hAnsi="Times New Roman" w:eastAsia="宋体"/>
          <w:b w:val="0"/>
          <w:sz w:val="24"/>
        </w:rPr>
        <w:t>然而，新加坡的CBR与东南亚其他国家的CBR在内涵上有所不同。新加坡的社区康复更接近于"专业康复服务的社区化下沉"，即专业人员和专业设备通过某种机制进入社区或家庭场景，而非严格意义上的WHO-CBR框架下"社区主导、多部门参与"的模式。其优势在于服务专业性有保障，但其成本和覆盖面受限于高度专业化的资源供给能力。</w:t>
      </w:r>
    </w:p>
    <w:p>
      <w:pPr>
        <w:spacing w:before="240" w:after="160"/>
      </w:pPr>
      <w:r>
        <w:rPr>
          <w:rFonts w:ascii="Times New Roman" w:hAnsi="Times New Roman" w:eastAsia="黑体"/>
          <w:b/>
          <w:sz w:val="26"/>
        </w:rPr>
        <w:t>5.2 马来西亚的CBR传统</w:t>
      </w:r>
    </w:p>
    <w:p>
      <w:pPr>
        <w:spacing w:before="120" w:after="120"/>
      </w:pPr>
      <w:r>
        <w:rPr>
          <w:rFonts w:ascii="Times New Roman" w:hAnsi="Times New Roman" w:eastAsia="宋体"/>
          <w:b w:val="0"/>
          <w:sz w:val="24"/>
        </w:rPr>
        <w:t>马来西亚的社区康复中心（CBR）有着东南亚地区最长的制度化历史之一。由政府社会福利部门（JKM）建立的CBR中心，长期以来承担着特殊需求儿童的康复与基本教育功能[5][41]。这一系统的基本逻辑是"兜底"——它优先服务于那些无法进入教育部特殊教育体系（包括特教学校和主流学校特殊班）的儿童。从某种意义上说，马来西亚的CBR体系构成了一道"最后的安全网"，确保了所有特殊需求儿童至少有一个可以获得基础服务的场所。</w:t>
      </w:r>
    </w:p>
    <w:p>
      <w:pPr>
        <w:spacing w:before="120" w:after="120"/>
      </w:pPr>
      <w:r>
        <w:rPr>
          <w:rFonts w:ascii="Times New Roman" w:hAnsi="Times New Roman" w:eastAsia="宋体"/>
          <w:b w:val="0"/>
          <w:sz w:val="24"/>
        </w:rPr>
        <w:t>但是，CBR在马来西亚的执行质量存在显著的非均衡性。多数转衔计划由教师个人开展，缺乏系统性支持[84]。"Wings Melaka"的成功案例恰恰证明了马来西亚家长群体对于更高质量、更专业化的社区早期干预服务的强烈需求——这从侧面说明现有的政府CBR中心在服务质量和覆盖面方面难以满足家长的实际期望。此外，关于马来西亚CBR的具体服务覆盖率、家庭参与率和长期成效监测指标，搜索结果没有提供直接的量化数据（参考[48]的讨论）。</w:t>
      </w:r>
    </w:p>
    <w:p>
      <w:pPr>
        <w:spacing w:before="240" w:after="160"/>
      </w:pPr>
      <w:r>
        <w:rPr>
          <w:rFonts w:ascii="Times New Roman" w:hAnsi="Times New Roman" w:eastAsia="黑体"/>
          <w:b/>
          <w:sz w:val="26"/>
        </w:rPr>
        <w:t>5.3 文莱的CBR实践与局限性</w:t>
      </w:r>
    </w:p>
    <w:p>
      <w:pPr>
        <w:spacing w:before="120" w:after="120"/>
      </w:pPr>
      <w:r>
        <w:rPr>
          <w:rFonts w:ascii="Times New Roman" w:hAnsi="Times New Roman" w:eastAsia="宋体"/>
          <w:b w:val="0"/>
          <w:sz w:val="24"/>
        </w:rPr>
        <w:t>文莱的CBR实践早在1990年代就已展开，其模式强调父母参与、医疗转介和社区资源利用[12]。这一"医疗转介"机制是一个值得注意的设计特征——它意味着文莱的CBR并非独立于医疗系统之外的纯社区活动，而是与医疗资源保持某种制度性的转介关系。然而，信息的时间滞后是一个不可忽视的问题。目前可获取的关于文莱CBR实施细节的信息主要来自1990年代末至2000年代初，距今已有二十余年。在这一时期内，文莱的社会经济结构和技术条件发生了显著变化（如数字技术的普及可以极大降低社区康复的通信和协调成本），但缺乏更新数据意味着我们难以评估文莱CBR的当代适应性和演变轨迹。</w:t>
      </w:r>
    </w:p>
    <w:p>
      <w:pPr>
        <w:spacing w:before="120" w:after="120"/>
      </w:pPr>
      <w:r>
        <w:rPr>
          <w:rFonts w:ascii="Times New Roman" w:hAnsi="Times New Roman" w:eastAsia="宋体"/>
          <w:b w:val="0"/>
          <w:sz w:val="24"/>
        </w:rPr>
        <w:t>文莱的SMARTER Brunei是一个以自闭症为专门服务对象的NGO，通过与卫生部的小儿发展中心合作开展早期发现和介入服务[77]。这一案例在区域层面具有一定示范意义——它展示了当一个国家的公共卫生体系（卫生部儿童发展中心）主动向特定障碍类别的NGO开放平台时，可以形成怎样的协同效应。但同样，SMARTER Brunei的具体项目运作、资金可持续性以及儿童从SMARTER Brunei进入教育体系的衔接机制，搜索结果未能提供足够深入的信息。</w:t>
      </w:r>
    </w:p>
    <w:p>
      <w:pPr>
        <w:spacing w:before="240" w:after="160"/>
      </w:pPr>
      <w:r>
        <w:rPr>
          <w:rFonts w:ascii="Times New Roman" w:hAnsi="Times New Roman" w:eastAsia="黑体"/>
          <w:b/>
          <w:sz w:val="26"/>
        </w:rPr>
        <w:t>5.4 中国的社区康复模式：南通经验与结构性困难</w:t>
      </w:r>
    </w:p>
    <w:p>
      <w:pPr>
        <w:spacing w:before="120" w:after="120"/>
      </w:pPr>
      <w:r>
        <w:rPr>
          <w:rFonts w:ascii="Times New Roman" w:hAnsi="Times New Roman" w:eastAsia="宋体"/>
          <w:b w:val="0"/>
          <w:sz w:val="24"/>
        </w:rPr>
        <w:t>中国南通模式中"社区康复"作为"校内康复、送教上门、社区康复"三支柱之一[6]，在理念上率先将社区康复纳入特殊教育服务体系的总体设计。然而在实践层面，中国社区康复面临的结构性困难比东南亚国家更为复杂：一方面，中国基层社区的康复专业人员严重匮乏——残联在册康复师与患儿的比例在某些地区达到1:130[106]数据提及的信息中所揭示的），这种供需失衡使社区康复的质量难以保证；另一方面，中国康复救助政策的年龄覆盖范围主要局限在0—6岁[107][107]信息所反映），学龄期以上特需儿童在社区层面的康复资源获取面临显著的政策性缺口。</w:t>
      </w:r>
    </w:p>
    <w:p>
      <w:pPr>
        <w:spacing w:before="120" w:after="120"/>
      </w:pPr>
      <w:r>
        <w:rPr>
          <w:rFonts w:ascii="Times New Roman" w:hAnsi="Times New Roman" w:eastAsia="宋体"/>
          <w:b w:val="0"/>
          <w:sz w:val="24"/>
        </w:rPr>
        <w:t>这种"低龄聚焦"的政策取向有其经济学逻辑——早期干预的投入产出比最高。但从权利视角看，它以"成本效益"为依据，系统性地将学龄期和成年期特需群体的社区康复需求边缘化了。这是一个需要正视的政策伦理问题。</w:t>
      </w:r>
    </w:p>
    <w:p>
      <w:pPr>
        <w:spacing w:before="360" w:after="240"/>
      </w:pPr>
      <w:r>
        <w:rPr>
          <w:rFonts w:ascii="Times New Roman" w:hAnsi="Times New Roman" w:eastAsia="黑体"/>
          <w:b/>
          <w:sz w:val="28"/>
        </w:rPr>
        <w:t>第六章 针对不同障碍类别的"特教+康复"结合实践</w:t>
      </w:r>
    </w:p>
    <w:p>
      <w:pPr>
        <w:spacing w:before="240" w:after="160"/>
      </w:pPr>
      <w:r>
        <w:rPr>
          <w:rFonts w:ascii="Times New Roman" w:hAnsi="Times New Roman" w:eastAsia="黑体"/>
          <w:b/>
          <w:sz w:val="26"/>
        </w:rPr>
        <w:t>6.1 自闭症谱系障碍（ASD）</w:t>
      </w:r>
    </w:p>
    <w:p>
      <w:pPr>
        <w:spacing w:before="120" w:after="120"/>
      </w:pPr>
      <w:r>
        <w:rPr>
          <w:rFonts w:ascii="Times New Roman" w:hAnsi="Times New Roman" w:eastAsia="宋体"/>
          <w:b w:val="0"/>
          <w:sz w:val="24"/>
        </w:rPr>
        <w:t>自闭症谱系障碍是东南亚地区近年来政策关注度提升最快的障碍类别。东盟秘书处正在支持建立自闭症家庭支持网络，推动社区康复、家庭干预和家长培训，特别关注经济困难家庭中的非歧视性策略[78]。这一区域层面的政策动向表明，ASD已经从"罕见疾病"转变为区域公共卫生和教育政策的优先议题。</w:t>
      </w:r>
    </w:p>
    <w:p>
      <w:pPr>
        <w:spacing w:before="120" w:after="120"/>
      </w:pPr>
      <w:r>
        <w:rPr>
          <w:rFonts w:ascii="Times New Roman" w:hAnsi="Times New Roman" w:eastAsia="宋体"/>
          <w:b w:val="0"/>
          <w:sz w:val="24"/>
        </w:rPr>
        <w:t>在文莱，SMARTER Brunei通过卫生部平台开展自闭症早期发现与介入服务[77]，形成了"NGO实施+卫生部门平台"的合作模式。</w:t>
      </w:r>
    </w:p>
    <w:p>
      <w:pPr>
        <w:spacing w:before="120" w:after="120"/>
      </w:pPr>
      <w:r>
        <w:rPr>
          <w:rFonts w:ascii="Times New Roman" w:hAnsi="Times New Roman" w:eastAsia="宋体"/>
          <w:b w:val="0"/>
          <w:sz w:val="24"/>
        </w:rPr>
        <w:t>在新加坡，自闭症学前儿童的临床实践指南由新加坡医学院（AMS）与卫生部（MOH）联合发布[62]，这意味着ASD的干预实践在国家级层面有权威性的专业指导文件。但需要指出的是，搜索结果未能提供该指南中关于物理治疗（PT）、作业治疗（OT）、言语治疗（ST）和应用行为分析（ABA）的具体整合技术规范。</w:t>
      </w:r>
    </w:p>
    <w:p>
      <w:pPr>
        <w:spacing w:before="120" w:after="120"/>
      </w:pPr>
      <w:r>
        <w:rPr>
          <w:rFonts w:ascii="Times New Roman" w:hAnsi="Times New Roman" w:eastAsia="宋体"/>
          <w:b w:val="0"/>
          <w:sz w:val="24"/>
        </w:rPr>
        <w:t>在中国，针对ASD的干预从单一的行为干预逐步向多学科整合转型。搜索结果中，《孤独症谱系障碍防治三级网络规范化建设专家共识》列出了康复目标和多种干预方法，包括心理教育干预和PT/OT/ST等医学专业治疗[95]。同时，有研究将ABA与认知神经和语言训练联合使用[22]，也有基于"脑肠轴"理论的针刺联合康复训练[23]。但这些实践分别来自不同的地域和机构，缺乏全国统一或跨区域协调的多学科联合干预协议。换言之，中国ASD干预的"多学科"是零散的、个案的，尚未形成规范化的多学科联合机制。</w:t>
      </w:r>
    </w:p>
    <w:p>
      <w:pPr>
        <w:spacing w:before="240" w:after="160"/>
      </w:pPr>
      <w:r>
        <w:rPr>
          <w:rFonts w:ascii="Times New Roman" w:hAnsi="Times New Roman" w:eastAsia="黑体"/>
          <w:b/>
          <w:sz w:val="26"/>
        </w:rPr>
        <w:t>6.2 智力障碍与学习障碍</w:t>
      </w:r>
    </w:p>
    <w:p>
      <w:pPr>
        <w:spacing w:before="120" w:after="120"/>
      </w:pPr>
      <w:r>
        <w:rPr>
          <w:rFonts w:ascii="Times New Roman" w:hAnsi="Times New Roman" w:eastAsia="宋体"/>
          <w:b w:val="0"/>
          <w:sz w:val="24"/>
        </w:rPr>
        <w:t>在智力障碍和学习障碍领域，马来西亚的做法具有代表性。其教育体系中对这类学生的安置以主流学校特殊班为主[74]，辅以NGO和CBR中心。但马来西亚相关早期评估工具被明确限定在0—6岁的"婴儿和儿童发展检查表"（Pengesanan SSP）[99]，对于学龄期以上智力障碍或学习障碍人士的功能评估和能力发展监测工具，缺乏系统性的制度化安排。</w:t>
      </w:r>
    </w:p>
    <w:p>
      <w:pPr>
        <w:spacing w:before="120" w:after="120"/>
      </w:pPr>
      <w:r>
        <w:rPr>
          <w:rFonts w:ascii="Times New Roman" w:hAnsi="Times New Roman" w:eastAsia="宋体"/>
          <w:b w:val="0"/>
          <w:sz w:val="24"/>
        </w:rPr>
        <w:t>中国针对中重度智力障碍学生的"订制性"教学在多学科融合的框架下被提出和实施[11]，目标指向缺陷补偿和潜能开发。但其实际执行质量在区域间差异极大，且没有全国性的效果监测数据。</w:t>
      </w:r>
    </w:p>
    <w:p>
      <w:pPr>
        <w:spacing w:before="240" w:after="160"/>
      </w:pPr>
      <w:r>
        <w:rPr>
          <w:rFonts w:ascii="Times New Roman" w:hAnsi="Times New Roman" w:eastAsia="黑体"/>
          <w:b/>
          <w:sz w:val="26"/>
        </w:rPr>
        <w:t>6.3 听障与视障</w:t>
      </w:r>
    </w:p>
    <w:p>
      <w:pPr>
        <w:spacing w:before="120" w:after="120"/>
      </w:pPr>
      <w:r>
        <w:rPr>
          <w:rFonts w:ascii="Times New Roman" w:hAnsi="Times New Roman" w:eastAsia="宋体"/>
          <w:b w:val="0"/>
          <w:sz w:val="24"/>
        </w:rPr>
        <w:t>听障和视障群体在四地的处境具有特殊性。相比ASD和学习障碍，听障与视障群体的服务传统更悠久，机构化程度也更高。马来西亚设有专门的视障学校和听障学校[74]，体现了这一领域相对成熟的机构建制。中国在听障领域的康复也相对成熟，部分地区对人工耳蜗术后康复给予补助[107]提及信息），且"听力语言康复"在中国特殊教育与康复结合领域是最早形成规范化路径的类别之一。</w:t>
      </w:r>
    </w:p>
    <w:p>
      <w:pPr>
        <w:spacing w:before="120" w:after="120"/>
      </w:pPr>
      <w:r>
        <w:rPr>
          <w:rFonts w:ascii="Times New Roman" w:hAnsi="Times New Roman" w:eastAsia="宋体"/>
          <w:b w:val="0"/>
          <w:sz w:val="24"/>
        </w:rPr>
        <w:t>然而，视障和听障群体在"融合教育"背景下面临的挑战与ASD/智障群体不同。他们的核心需求不是减少"问题行为"或提升"认知理解"，而是无障碍环境的适配和替代性感官通道的开发。这意味着视障/听障的"医教结合"更多指向辅助技术（助听器验配、盲文教学设备）和特殊技能训练（定向行走、手语），而非传统意义上的"康复治疗"。这一维度在搜索结果中相对被边缘化，反映了区域政策对ASD和智障类别的高度聚焦可能压缩了对感官障碍群体的政策注意力。</w:t>
      </w:r>
    </w:p>
    <w:p>
      <w:pPr>
        <w:spacing w:before="240" w:after="160"/>
      </w:pPr>
      <w:r>
        <w:rPr>
          <w:rFonts w:ascii="Times New Roman" w:hAnsi="Times New Roman" w:eastAsia="黑体"/>
          <w:b/>
          <w:sz w:val="26"/>
        </w:rPr>
        <w:t>6.4 脑瘫与肢体障碍</w:t>
      </w:r>
    </w:p>
    <w:p>
      <w:pPr>
        <w:spacing w:before="120" w:after="120"/>
      </w:pPr>
      <w:r>
        <w:rPr>
          <w:rFonts w:ascii="Times New Roman" w:hAnsi="Times New Roman" w:eastAsia="宋体"/>
          <w:b w:val="0"/>
          <w:sz w:val="24"/>
        </w:rPr>
        <w:t>脑瘫儿童的服务需求是"医教结合"最典型的范例——因为他们几乎无一例外地需要持续的物理治疗（PT）、作业治疗（OT）以及在某些情况下的言语治疗（ST），同时其认知发展又需要教育干预。新加坡的特殊教育学校与康复中心之间的协作被明确指出服务于"运动障碍青少年"[4]，体现了对这一类别需求的制度性回应。</w:t>
      </w:r>
    </w:p>
    <w:p>
      <w:pPr>
        <w:spacing w:before="120" w:after="120"/>
      </w:pPr>
      <w:r>
        <w:rPr>
          <w:rFonts w:ascii="Times New Roman" w:hAnsi="Times New Roman" w:eastAsia="宋体"/>
          <w:b w:val="0"/>
          <w:sz w:val="24"/>
        </w:rPr>
        <w:t>中国针对脑瘫的临床研究较多关注特定干预方案的疗效，如"鼠神经生长因子联合核心稳定性训练"[83][83]或"苯海索联合物理治疗"[37]。需要注意的是，这些研究均来自医院临床背景，而非学校场景。脑瘫儿童在普通学校或特教学校中，如何将医院制定的PT/OT方案转化为校内可执行的康复训练，仍然缺乏制度化的衔接机制。</w:t>
      </w:r>
    </w:p>
    <w:p>
      <w:pPr>
        <w:spacing w:before="120" w:after="120"/>
      </w:pPr>
      <w:r>
        <w:rPr>
          <w:rFonts w:ascii="Times New Roman" w:hAnsi="Times New Roman" w:eastAsia="宋体"/>
          <w:b w:val="0"/>
          <w:sz w:val="24"/>
        </w:rPr>
        <w:t>一个值得关注的区域研究[21]指出，PT+OT联合干预优于常规护理，但该研究来自印度。这说明在东南亚及南亚地区，脑瘫的多学科联合干预的证据基础正在形成，但其证据向政策转化的速度仍然缓慢。</w:t>
      </w:r>
    </w:p>
    <w:p>
      <w:pPr>
        <w:spacing w:before="360" w:after="240"/>
      </w:pPr>
      <w:r>
        <w:rPr>
          <w:rFonts w:ascii="Times New Roman" w:hAnsi="Times New Roman" w:eastAsia="黑体"/>
          <w:b/>
          <w:sz w:val="28"/>
        </w:rPr>
        <w:t>第七章 特殊教育政策制度与转衔流程</w:t>
      </w:r>
    </w:p>
    <w:p>
      <w:pPr>
        <w:spacing w:before="240" w:after="160"/>
      </w:pPr>
      <w:r>
        <w:rPr>
          <w:rFonts w:ascii="Times New Roman" w:hAnsi="Times New Roman" w:eastAsia="黑体"/>
          <w:b/>
          <w:sz w:val="26"/>
        </w:rPr>
        <w:t>7.1 政策框架的比较概览</w:t>
      </w:r>
    </w:p>
    <w:p>
      <w:pPr>
        <w:spacing w:before="240" w:after="160"/>
      </w:pPr>
      <w:r>
        <w:rPr>
          <w:rFonts w:ascii="Times New Roman" w:hAnsi="Times New Roman" w:eastAsia="黑体"/>
          <w:b/>
          <w:sz w:val="26"/>
        </w:rPr>
        <w:t>7.2 新加坡的转衔路径：职业分流体系的镜像与局限</w:t>
      </w:r>
    </w:p>
    <w:p>
      <w:pPr>
        <w:spacing w:before="120" w:after="120"/>
      </w:pPr>
      <w:r>
        <w:rPr>
          <w:rFonts w:ascii="Times New Roman" w:hAnsi="Times New Roman" w:eastAsia="宋体"/>
          <w:b w:val="0"/>
          <w:sz w:val="24"/>
        </w:rPr>
        <w:t>新加坡的中学后教育与职业培训分流体系在东南亚地区最为精细化：前25%进入初级学院（JC），40%进入理工学院（Polytechnic），25%进入工艺教育学院（ITE），其余10%进入劳动力市场或其他机构[79][98]。这种分流机制的清晰性本身有利于各类群体的职业发展路径规划——包括特需学生。</w:t>
      </w:r>
    </w:p>
    <w:p>
      <w:pPr>
        <w:spacing w:before="120" w:after="120"/>
      </w:pPr>
      <w:r>
        <w:rPr>
          <w:rFonts w:ascii="Times New Roman" w:hAnsi="Times New Roman" w:eastAsia="宋体"/>
          <w:b w:val="0"/>
          <w:sz w:val="24"/>
        </w:rPr>
        <w:t>然而，这一分流体系是面对主流学生的整体框架，而非针对特需学生的转衔服务规程。特需学生在中学毕业后如何在JC/理工学院/ITE/劳动力市场之间进行合理匹配，以及在此过程中需要何种专项的支持服务（如职业能力评估、工作场所适应训练、庇护工场的衔接），搜索结果并未提供针对性的政策细节。虽然存在SPED经济援助计划（FAS）等财务支持工具[108]信息所反映），但这些属于"教育阶段的费用援助"而非"转衔服务支持"。</w:t>
      </w:r>
    </w:p>
    <w:p>
      <w:pPr>
        <w:spacing w:before="240" w:after="160"/>
      </w:pPr>
      <w:r>
        <w:rPr>
          <w:rFonts w:ascii="Times New Roman" w:hAnsi="Times New Roman" w:eastAsia="黑体"/>
          <w:b/>
          <w:sz w:val="26"/>
        </w:rPr>
        <w:t>7.3 马来西亚的转衔路径：框架明确但工具欠缺</w:t>
      </w:r>
    </w:p>
    <w:p>
      <w:pPr>
        <w:spacing w:before="120" w:after="120"/>
      </w:pPr>
      <w:r>
        <w:rPr>
          <w:rFonts w:ascii="Times New Roman" w:hAnsi="Times New Roman" w:eastAsia="宋体"/>
          <w:b w:val="0"/>
          <w:sz w:val="24"/>
        </w:rPr>
        <w:t>马来西亚的转衔路径相对具有完整性。特殊需求学生从早期干预、学前教育、小学、中学到后中学（Upper 6之后）的纵向发展路径中，明确包含"从学校到工作"的过渡环节，目标指向"独立生活"[5][59][5]—184）。在中学毕业后，学生可转介至NGO、庇护工场、继续教育或接受社区康复支持。</w:t>
      </w:r>
    </w:p>
    <w:p>
      <w:pPr>
        <w:spacing w:before="120" w:after="120"/>
      </w:pPr>
      <w:r>
        <w:rPr>
          <w:rFonts w:ascii="Times New Roman" w:hAnsi="Times New Roman" w:eastAsia="宋体"/>
          <w:b w:val="0"/>
          <w:sz w:val="24"/>
        </w:rPr>
        <w:t>这种多路径的设计在理念上颇为合理——它不预设所有特需学生都走同一条路，而是提供了从"竞争性就业"到"庇护性安置"的梯度选择。但搜索结果同时揭示了一个关键短板：多数转衔计划由教师个人开展，缺乏系统性和工具支撑[84]。这意味着教师的专业能力、时间和资源成为转衔质量的瓶颈。普通和特殊教育者虽然被期待承担规划、指导等角色[85]，但在缺乏标准化评估工具和政府跨部门协调机制的情况下，教师的个体努力难以转化为制度化的转衔质量保障。马来西亚的转衔路径"框架优于执行"。</w:t>
      </w:r>
    </w:p>
    <w:p>
      <w:pPr>
        <w:spacing w:before="240" w:after="160"/>
      </w:pPr>
      <w:r>
        <w:rPr>
          <w:rFonts w:ascii="Times New Roman" w:hAnsi="Times New Roman" w:eastAsia="黑体"/>
          <w:b/>
          <w:sz w:val="26"/>
        </w:rPr>
        <w:t>7.4 中国的转衔研究与政策：从无到有的起步</w:t>
      </w:r>
    </w:p>
    <w:p>
      <w:pPr>
        <w:spacing w:before="120" w:after="120"/>
      </w:pPr>
      <w:r>
        <w:rPr>
          <w:rFonts w:ascii="Times New Roman" w:hAnsi="Times New Roman" w:eastAsia="宋体"/>
          <w:b w:val="0"/>
          <w:sz w:val="24"/>
        </w:rPr>
        <w:t>[75][75]明确指出：2014年之前中国国内对特殊教育转衔的研究很少，2014年之后随着政策推动，研究文献量从年均2篇增至9篇以上，但整体研究仍不十分丰富，处于"由慢到快的发展过程中"。这一描述精确地勾勒了中国特殊教育转衔领域的学术和制度成熟度：政策话语中"学段衔接"被反复强调，但缺乏具体的操作标准和跨部门责任分工的正式界定。</w:t>
      </w:r>
    </w:p>
    <w:p>
      <w:pPr>
        <w:spacing w:before="120" w:after="120"/>
      </w:pPr>
      <w:r>
        <w:rPr>
          <w:rFonts w:ascii="Times New Roman" w:hAnsi="Times New Roman" w:eastAsia="宋体"/>
          <w:b w:val="0"/>
          <w:sz w:val="24"/>
        </w:rPr>
        <w:t>关于"中国特殊学生从中学毕业后进入职业培训、庇护工场或成人社区支持网络的标准操作流程及跨部门协调主体职责划分"，搜索引擎的多轮查询均未能返回直接相关的权威信息。仅有的线索包括：中国有地方研究者编制了"职业转衔需求下专业技能检核表"[60]信息所提及），以及一项中美转衔评估工具比较研究指出中国正在构建本土评估体系[24]。这些零散线索表明，中国转衔领域正在经历从"学术探讨"到"工具开发"的尝试性转型，但距离"可操作的制度安排"仍有相当距离。</w:t>
      </w:r>
    </w:p>
    <w:p>
      <w:pPr>
        <w:spacing w:before="240" w:after="160"/>
      </w:pPr>
      <w:r>
        <w:rPr>
          <w:rFonts w:ascii="Times New Roman" w:hAnsi="Times New Roman" w:eastAsia="黑体"/>
          <w:b/>
          <w:sz w:val="26"/>
        </w:rPr>
        <w:t>7.5 文莱：政策承诺与信息透明度的不对称</w:t>
      </w:r>
    </w:p>
    <w:p>
      <w:pPr>
        <w:spacing w:before="120" w:after="120"/>
      </w:pPr>
      <w:r>
        <w:rPr>
          <w:rFonts w:ascii="Times New Roman" w:hAnsi="Times New Roman" w:eastAsia="宋体"/>
          <w:b w:val="0"/>
          <w:sz w:val="24"/>
        </w:rPr>
        <w:t>文莱的转衔流程在研究材料中呈现出一个悖论：一方面，文莱在宏观政策层面有明确的融合教育和特殊教育承诺（1994年SEU成立，1997年包容教育政策采纳），且在早期评估阶段有具体工具（Pengesanan SSP检查表适用于0—6岁）[99][66]；但另一方面，关于特殊需求学生中学毕业后的转衔路径、责任部门和评估工具，信息几乎完全缺失。这种"前端充分、后端缺位"的信息分布，可能反映了文莱在特殊教育服务的"早期"和"晚期"之间存在着制度性的投入不对称——早期干预得到了较多政策关注和资源，而学龄期之后的转衔和成人服务则处于相对被忽视的状态。</w:t>
      </w:r>
    </w:p>
    <w:p>
      <w:pPr>
        <w:spacing w:before="360" w:after="240"/>
      </w:pPr>
      <w:r>
        <w:rPr>
          <w:rFonts w:ascii="Times New Roman" w:hAnsi="Times New Roman" w:eastAsia="黑体"/>
          <w:b/>
          <w:sz w:val="28"/>
        </w:rPr>
        <w:t>第八章 财政、支付与可持续性</w:t>
      </w:r>
    </w:p>
    <w:p>
      <w:pPr>
        <w:spacing w:before="240" w:after="160"/>
      </w:pPr>
      <w:r>
        <w:rPr>
          <w:rFonts w:ascii="Times New Roman" w:hAnsi="Times New Roman" w:eastAsia="黑体"/>
          <w:b/>
          <w:sz w:val="26"/>
        </w:rPr>
        <w:t>8.1 新加坡的多元支付框架</w:t>
      </w:r>
    </w:p>
    <w:p>
      <w:pPr>
        <w:spacing w:before="120" w:after="120"/>
      </w:pPr>
      <w:r>
        <w:rPr>
          <w:rFonts w:ascii="Times New Roman" w:hAnsi="Times New Roman" w:eastAsia="宋体"/>
          <w:b w:val="0"/>
          <w:sz w:val="24"/>
        </w:rPr>
        <w:t>新加坡在医疗和康复服务的财政保障方面，拥有东南亚最精细的多元支付框架——3M体系（Medisave医疗储蓄账户、Medishield Life大病保险、Medifund医疗基金）加上政府补贴、CHAS社区健康援助计划、残疾人专项基金等[38][39][70]—130中相关信息）。针对特殊教育的具体资助，SPED经济援助计划（FAS）以家庭月总收入（不超过2750新元）或人均收入（不超过690新元）为门槛，提供学费援助[71][108]信息所反映）。小学阶段的辅助设备由教育部全额资助，中学及以上通过特殊教育基金或相关协会基金支持[108]信息所反映）。</w:t>
      </w:r>
    </w:p>
    <w:p>
      <w:pPr>
        <w:spacing w:before="120" w:after="120"/>
      </w:pPr>
      <w:r>
        <w:rPr>
          <w:rFonts w:ascii="Times New Roman" w:hAnsi="Times New Roman" w:eastAsia="宋体"/>
          <w:b w:val="0"/>
          <w:sz w:val="24"/>
        </w:rPr>
        <w:t>这种支持框架的显著优势在于：它将"普遍覆盖"（3M体系面向所有国民）与"定向附加"（针对特需群体的专项援助）结合起来，形成了多层次的保障网。但其局限同样明显：收入门槛可能导致"夹心层"家庭（略高于门槛但实际经济压力巨大的家庭）被排斥在援助之外。</w:t>
      </w:r>
    </w:p>
    <w:p>
      <w:pPr>
        <w:spacing w:before="240" w:after="160"/>
      </w:pPr>
      <w:r>
        <w:rPr>
          <w:rFonts w:ascii="Times New Roman" w:hAnsi="Times New Roman" w:eastAsia="黑体"/>
          <w:b/>
          <w:sz w:val="26"/>
        </w:rPr>
        <w:t>8.2 马来西亚的支付结构：低费服务与高自付并存</w:t>
      </w:r>
    </w:p>
    <w:p>
      <w:pPr>
        <w:spacing w:before="120" w:after="120"/>
      </w:pPr>
      <w:r>
        <w:rPr>
          <w:rFonts w:ascii="Times New Roman" w:hAnsi="Times New Roman" w:eastAsia="宋体"/>
          <w:b w:val="0"/>
          <w:sz w:val="24"/>
        </w:rPr>
        <w:t>马来西亚的医疗融资体制以单一资金池的税收制为基础[40]，理论上覆盖全民，但实际自付比例较高，且鼓励使用个人储蓄和私人保险。在康复服务方面，政府及社区康复中心的服务大多免费或低费，但维护服务和备件需自付[72]信息所反映）。然而，关于特需儿童康复服务的政府专项补贴申请条件、医保支付项目明细和家长自费的精确核算标准，搜索结果几乎没有提供有效数据。</w:t>
      </w:r>
    </w:p>
    <w:p>
      <w:pPr>
        <w:spacing w:before="120" w:after="120"/>
      </w:pPr>
      <w:r>
        <w:rPr>
          <w:rFonts w:ascii="Times New Roman" w:hAnsi="Times New Roman" w:eastAsia="宋体"/>
          <w:b w:val="0"/>
          <w:sz w:val="24"/>
        </w:rPr>
        <w:t>这种信息空白本身就是政策分析的一个发现：它暗示马来西亚在特殊教育康复的财政保障方面缺乏一个清晰的、被制度化表述和公开披露的资金支持框架。与新加坡的3M体系和中国的残联康复救助体系相比，马来西亚在这一领域的政策明细度较低。</w:t>
      </w:r>
    </w:p>
    <w:p>
      <w:pPr>
        <w:spacing w:before="240" w:after="160"/>
      </w:pPr>
      <w:r>
        <w:rPr>
          <w:rFonts w:ascii="Times New Roman" w:hAnsi="Times New Roman" w:eastAsia="黑体"/>
          <w:b/>
          <w:sz w:val="26"/>
        </w:rPr>
        <w:t>8.3 中国的支付结构：低龄聚焦与地区差异</w:t>
      </w:r>
    </w:p>
    <w:p>
      <w:pPr>
        <w:spacing w:before="120" w:after="120"/>
      </w:pPr>
      <w:r>
        <w:rPr>
          <w:rFonts w:ascii="Times New Roman" w:hAnsi="Times New Roman" w:eastAsia="宋体"/>
          <w:b w:val="0"/>
          <w:sz w:val="24"/>
        </w:rPr>
        <w:t>中国的康复支付渠道是多元的，包括康复救助、基本医保支付和残联专项补贴[109][107]信息所反映）。但国务院政策及各省规定的康复救助对象主要集中在0—6岁的残疾儿童（部分经济困难家庭的肢体矫治儿童可延伸至8—14岁）[107][107]信息所反映）。这意味着学龄期以上特需儿童和青少年的康复费用，基本依赖家庭自费或基本医疗保险的有限覆盖。而基本医疗保险针对PT/OT/ST项目的支付往往是限定性的（部分地区、特定条件），远未形成全国统一的、面向特需群体的康复服务医保支付目录。</w:t>
      </w:r>
    </w:p>
    <w:p>
      <w:pPr>
        <w:spacing w:before="120" w:after="120"/>
      </w:pPr>
      <w:r>
        <w:rPr>
          <w:rFonts w:ascii="Times New Roman" w:hAnsi="Times New Roman" w:eastAsia="宋体"/>
          <w:b w:val="0"/>
          <w:sz w:val="24"/>
        </w:rPr>
        <w:t>这一政策格局的深层逻辑是：将有限的公共康复资源集中投向"康复潜力最大、干预窗口最佳"的低龄阶段，是一种"投资回报导向"的资源分配策略。但它的代价是学龄期和成年期特需群体的康复需求被系统性忽视，而这些群体的功能障碍如果得不到持续干预，可能加速退化——这实际上可能导致长期社会成本的不降反升。</w:t>
      </w:r>
    </w:p>
    <w:p>
      <w:pPr>
        <w:spacing w:before="360" w:after="240"/>
      </w:pPr>
      <w:r>
        <w:rPr>
          <w:rFonts w:ascii="Times New Roman" w:hAnsi="Times New Roman" w:eastAsia="黑体"/>
          <w:b/>
          <w:sz w:val="28"/>
        </w:rPr>
        <w:t>第九章 比较分析与核心发现</w:t>
      </w:r>
    </w:p>
    <w:p>
      <w:pPr>
        <w:spacing w:before="240" w:after="160"/>
      </w:pPr>
      <w:r>
        <w:rPr>
          <w:rFonts w:ascii="Times New Roman" w:hAnsi="Times New Roman" w:eastAsia="黑体"/>
          <w:b/>
          <w:sz w:val="26"/>
        </w:rPr>
        <w:t>9.1 核心发现一：制度整合的深度差异</w:t>
      </w:r>
    </w:p>
    <w:p>
      <w:pPr>
        <w:spacing w:before="120" w:after="120"/>
      </w:pPr>
      <w:r>
        <w:rPr>
          <w:rFonts w:ascii="Times New Roman" w:hAnsi="Times New Roman" w:eastAsia="宋体"/>
          <w:b w:val="0"/>
          <w:sz w:val="24"/>
        </w:rPr>
        <w:t>四地在"特殊教育与康复结合"领域的最大差异，不在于理念的接受程度（四地均在不同程度上接受了"医教结合""融合教育""多学科协作"等理念），而在于制度整合的深度。新加坡之所以相对领先，关键在于它没有止步于"倡导多部门协作"，而是将协作制度化，形成了评估流程标准化、机构职责明晰化和资助机制多元化的体系。相比之下，中国和马来西亚的"医教结合"在相当程度上仍然是"有政策要求、无操作标准"的状态——各地自行探索，质量高度依赖个别机构和个人的执行能力。</w:t>
      </w:r>
    </w:p>
    <w:p>
      <w:pPr>
        <w:spacing w:before="240" w:after="160"/>
      </w:pPr>
      <w:r>
        <w:rPr>
          <w:rFonts w:ascii="Times New Roman" w:hAnsi="Times New Roman" w:eastAsia="黑体"/>
          <w:b/>
          <w:sz w:val="26"/>
        </w:rPr>
        <w:t>9.2 核心发现二：转衔服务是共同的制度短板</w:t>
      </w:r>
    </w:p>
    <w:p>
      <w:pPr>
        <w:spacing w:before="120" w:after="120"/>
      </w:pPr>
      <w:r>
        <w:rPr>
          <w:rFonts w:ascii="Times New Roman" w:hAnsi="Times New Roman" w:eastAsia="宋体"/>
          <w:b w:val="0"/>
          <w:sz w:val="24"/>
        </w:rPr>
        <w:t>四地均面临"教育到成人"转衔服务的制度性薄弱。即便是在服务整合程度较高的新加坡，特需学生中学毕业后进入成人服务体系的专属支持规程仍然缺乏具体细节。马来西亚虽有清晰的"学校到工作"框架理念，但执行工具和系统性支撑缺失。中国的转衔研究刚刚起步，文莱的转衔信息几乎空白。这一共性短板的意义在于：特殊教育服务的"前端投入"（早期干预、义务教育期间的资源保障）如果不能有效地延伸到"后端"（职业培训、就业支持、成年后的社区生活），那么前端的投入效果可能在成年阶段被迅速侵蚀。因此，转衔服务不是特教体系的"附加环节"，而是决定特教投入长期效益的关键节点。</w:t>
      </w:r>
    </w:p>
    <w:p>
      <w:pPr>
        <w:spacing w:before="240" w:after="160"/>
      </w:pPr>
      <w:r>
        <w:rPr>
          <w:rFonts w:ascii="Times New Roman" w:hAnsi="Times New Roman" w:eastAsia="黑体"/>
          <w:b/>
          <w:sz w:val="26"/>
        </w:rPr>
        <w:t>9.3 核心发现三：NGO与家庭在东南亚的角色不可替代</w:t>
      </w:r>
    </w:p>
    <w:p>
      <w:pPr>
        <w:spacing w:before="120" w:after="120"/>
      </w:pPr>
      <w:r>
        <w:rPr>
          <w:rFonts w:ascii="Times New Roman" w:hAnsi="Times New Roman" w:eastAsia="宋体"/>
          <w:b w:val="0"/>
          <w:sz w:val="24"/>
        </w:rPr>
        <w:t>马来西亚的NGO补位模式和文莱的SMARTER Brunei案例共同表明，在东南亚地区的政治经济条件下，NGO和家长组织不仅是服务补充者，在很多时候是服务创新的主要驱动者。马来西亚Wings Melaka的家长发起式早期干预项目[48]和文莱以卫生部平台接纳NGO的机制设计[77]，都指向一个政策启示：政府与NGO的关系模式，在很大程度上决定了"医教结合"和"社区康复"能否真正落地。与NGO建立制度化的、持续性的合作关系（而非临时性项目合作），是实现服务整合的重要条件。</w:t>
      </w:r>
    </w:p>
    <w:p>
      <w:pPr>
        <w:spacing w:before="240" w:after="160"/>
      </w:pPr>
      <w:r>
        <w:rPr>
          <w:rFonts w:ascii="Times New Roman" w:hAnsi="Times New Roman" w:eastAsia="黑体"/>
          <w:b/>
          <w:sz w:val="26"/>
        </w:rPr>
        <w:t>9.4 核心发现四：数据与监测体系的普遍缺失</w:t>
      </w:r>
    </w:p>
    <w:p>
      <w:pPr>
        <w:spacing w:before="120" w:after="120"/>
      </w:pPr>
      <w:r>
        <w:rPr>
          <w:rFonts w:ascii="Times New Roman" w:hAnsi="Times New Roman" w:eastAsia="宋体"/>
          <w:b w:val="0"/>
          <w:sz w:val="24"/>
        </w:rPr>
        <w:t>四地在特殊教育与康复结合领域均存在严重的数据和监测缺失。马来西亚和文莱的CBR项目缺乏服务覆盖率、家庭参与率和长期成效监测指标（搜索结果对此有明确表述）。中国的"医教结合"实验区虽然存在，但缺乏可比较的成效评估标准。即便在新加坡，特需学生的长期纵向追踪数据（从早期干预到成年后的生活质量）虽然在政策界有讨论，但公开可获取的精细数据仍然稀缺。缺乏数据意味着政策评估失去了实证基础，"什么有效、什么无效、对谁有效"的问题无法被认真回答。</w:t>
      </w:r>
    </w:p>
    <w:p>
      <w:pPr>
        <w:spacing w:before="360" w:after="240"/>
      </w:pPr>
      <w:r>
        <w:rPr>
          <w:rFonts w:ascii="Times New Roman" w:hAnsi="Times New Roman" w:eastAsia="黑体"/>
          <w:b/>
          <w:sz w:val="28"/>
        </w:rPr>
        <w:t>第十章 政策建议</w:t>
      </w:r>
    </w:p>
    <w:p>
      <w:pPr>
        <w:spacing w:before="240" w:after="160"/>
      </w:pPr>
      <w:r>
        <w:rPr>
          <w:rFonts w:ascii="Times New Roman" w:hAnsi="Times New Roman" w:eastAsia="黑体"/>
          <w:b/>
          <w:sz w:val="26"/>
        </w:rPr>
        <w:t>10.1 建立标准化的"医疗—教育"信息转化协议</w:t>
      </w:r>
    </w:p>
    <w:p>
      <w:pPr>
        <w:spacing w:before="120" w:after="120"/>
      </w:pPr>
      <w:r>
        <w:rPr>
          <w:rFonts w:ascii="Times New Roman" w:hAnsi="Times New Roman" w:eastAsia="宋体"/>
          <w:b w:val="0"/>
          <w:sz w:val="24"/>
        </w:rPr>
        <w:t>针对"医疗处方如何转化为IEP量化目标"的普遍制度空白，建议四地（尤其是中国和马来西亚）优先制定一套标准化的信息转化协议。该协议应至少包含：（1）医疗诊断与康复评估报告中必须包含的与教育相关的功能信息（如精细运动能力对书写的影响评估）；（2）一个从医疗康复目标（如"改善肩关节活动度"）到教育功能目标（如"独立完成穿衣"）的映射框架；（3）学校康复训练的量化记录与定期反馈机制（使医疗康复师能够了解学校的执行进展并适时调整方案）。</w:t>
      </w:r>
    </w:p>
    <w:p>
      <w:pPr>
        <w:spacing w:before="240" w:after="160"/>
      </w:pPr>
      <w:r>
        <w:rPr>
          <w:rFonts w:ascii="Times New Roman" w:hAnsi="Times New Roman" w:eastAsia="黑体"/>
          <w:b/>
          <w:sz w:val="26"/>
        </w:rPr>
        <w:t>10.2 将转衔服务纳入立法或强制性政策框架</w:t>
      </w:r>
    </w:p>
    <w:p>
      <w:pPr>
        <w:spacing w:before="120" w:after="120"/>
      </w:pPr>
      <w:r>
        <w:rPr>
          <w:rFonts w:ascii="Times New Roman" w:hAnsi="Times New Roman" w:eastAsia="宋体"/>
          <w:b w:val="0"/>
          <w:sz w:val="24"/>
        </w:rPr>
        <w:t>建议将转衔服务的启动时间点（如中学阶段中期）、参与部门职责和最低服务内容纳入法律法规或具有强制性的政策文件。马来西亚的教训表明，将转衔责任依托于教师的个人能动性，注定导致质量高度不均。转衔服务的制度化至少需要明确：（1）教育部门与就业/民政/福利部门的交接点；（2）转衔评估的法定时间节点和工具；（3）特需学生毕业后在没有就业或成人服务衔接时的"安全网"安排。</w:t>
      </w:r>
    </w:p>
    <w:p>
      <w:pPr>
        <w:spacing w:before="240" w:after="160"/>
      </w:pPr>
      <w:r>
        <w:rPr>
          <w:rFonts w:ascii="Times New Roman" w:hAnsi="Times New Roman" w:eastAsia="黑体"/>
          <w:b/>
          <w:sz w:val="26"/>
        </w:rPr>
        <w:t>10.3 拓宽康复资助的年龄覆盖范围</w:t>
      </w:r>
    </w:p>
    <w:p>
      <w:pPr>
        <w:spacing w:before="120" w:after="120"/>
      </w:pPr>
      <w:r>
        <w:rPr>
          <w:rFonts w:ascii="Times New Roman" w:hAnsi="Times New Roman" w:eastAsia="宋体"/>
          <w:b w:val="0"/>
          <w:sz w:val="24"/>
        </w:rPr>
        <w:t>中国康复救助主要覆盖0—6岁的政策格局亟需调整。建议分阶段将康复救助覆盖范围扩展至学龄期（至少覆盖义务教育阶段），并对成年后的养护和就业支持配套设立专项资助。从成本效益角度看，虽然早期干预回报率最高，但学龄期的持续性康复可以防止功能退化，减少成年期的长期医疗和照护成本。这一"预防性投入"的逻辑需要在政策论证中被更明确地纳入。</w:t>
      </w:r>
    </w:p>
    <w:p>
      <w:pPr>
        <w:spacing w:before="240" w:after="160"/>
      </w:pPr>
      <w:r>
        <w:rPr>
          <w:rFonts w:ascii="Times New Roman" w:hAnsi="Times New Roman" w:eastAsia="黑体"/>
          <w:b/>
          <w:sz w:val="26"/>
        </w:rPr>
        <w:t>10.4 建立区域性的经验共享与联合研究机制</w:t>
      </w:r>
    </w:p>
    <w:p>
      <w:pPr>
        <w:spacing w:before="120" w:after="120"/>
      </w:pPr>
      <w:r>
        <w:rPr>
          <w:rFonts w:ascii="Times New Roman" w:hAnsi="Times New Roman" w:eastAsia="宋体"/>
          <w:b w:val="0"/>
          <w:sz w:val="24"/>
        </w:rPr>
        <w:t>鉴于东南亚各国面临的特教康复挑战高度相似（专业人才匮乏、转衔断层、城乡差距、NGO与政府关系），建议依托东盟现有框架（如东盟秘书处已支持的自闭症家庭支持网络）建立一个区域性的特殊教育与康复知识共享平台。该平台的核心功能应包括：（1）各国CBR项目数据库的互联互通，实现服务覆盖率、家长参与率和成效监测指标的标准化采集与跨国比较；（2）"医教结合"操作规范（如医疗康复目标→IEP功能目标的转化模板）的跨国生态校准和共享；（3）转衔服务工具（如马来西亚教师可借鉴新加坡的职业能力评估框架）的联合开发和验证；（4）特殊教育教师的康复基础能力培训的跨国认证试点。从目前四地情况看，各国在特教康复领域的"试点-验证-推广"链条普遍薄弱，单独依靠某一国的科研和行政资源难以完成高质量的实践验证，区域联合是最具成本效益的路径。</w:t>
      </w:r>
    </w:p>
    <w:p>
      <w:pPr>
        <w:spacing w:before="240" w:after="160"/>
      </w:pPr>
      <w:r>
        <w:rPr>
          <w:rFonts w:ascii="Times New Roman" w:hAnsi="Times New Roman" w:eastAsia="黑体"/>
          <w:b/>
          <w:sz w:val="26"/>
        </w:rPr>
        <w:t>10.5 强化数据治理：建立特需儿童全生命周期纵向追踪数据系统</w:t>
      </w:r>
    </w:p>
    <w:p>
      <w:pPr>
        <w:spacing w:before="120" w:after="120"/>
      </w:pPr>
      <w:r>
        <w:rPr>
          <w:rFonts w:ascii="Times New Roman" w:hAnsi="Times New Roman" w:eastAsia="宋体"/>
          <w:b w:val="0"/>
          <w:sz w:val="24"/>
        </w:rPr>
        <w:t>四地的数据缺失是政策评估失败的根本原因之一。建议各国（至少包括中国和马来西亚）将特需儿童自早期干预至成人期的纵向追踪数据纳入国家数据治理规划。数据系统至少应捕获：（1）服务接触点（何时、何地、接受何种教育—康复服务）；（2）功能状态变化（采用国际功能、残疾和健康分类-ICF框架作为统一表述语言）；（3）转衔结果（是否进入就业、庇护工场、继续教育或成人照护）；（4）家庭经济负担（自付费用占家庭收入比）。只有建立了这样的证据基础，"医教结合"是否真正产生长期效益、"转衔断层"究竟导致多少特需成年人口"断链"，这些核心政策问题才有可能得到基于事实的答案，而非停留在理念呼吁层面。</w:t>
      </w:r>
    </w:p>
    <w:p>
      <w:pPr>
        <w:spacing w:before="240" w:after="160"/>
      </w:pPr>
      <w:r>
        <w:rPr>
          <w:rFonts w:ascii="Times New Roman" w:hAnsi="Times New Roman" w:eastAsia="黑体"/>
          <w:b/>
          <w:sz w:val="26"/>
        </w:rPr>
        <w:t>10.6 完善NGO与家庭参与的制度化通道</w:t>
      </w:r>
    </w:p>
    <w:p>
      <w:pPr>
        <w:spacing w:before="120" w:after="120"/>
      </w:pPr>
      <w:r>
        <w:rPr>
          <w:rFonts w:ascii="Times New Roman" w:hAnsi="Times New Roman" w:eastAsia="宋体"/>
          <w:b w:val="0"/>
          <w:sz w:val="24"/>
        </w:rPr>
        <w:t>东南亚经验表明，NGO和家长组织的灵活性、创新性和问责压力，恰好可以弥补政府服务体系在这些维度的不足。建议政府（尤其是马来西亚和中国）建立NGO与特教康复服务的长期框架性、可持续的关系（而非临时性项目制合作），包括：向符合资质标准的NGO开放公共资源的进入通道（参考文莱通过卫生部平台吸纳SMARTER Brunei的做法）；建立NGO服务质量的公开评估与问责机制；在政策制定过程中设立家长和NGO的常态化参与席位，使"服务使用者"的声音进入制度设计的最前端。</w:t>
      </w:r>
    </w:p>
    <w:p>
      <w:pPr>
        <w:spacing w:before="360" w:after="240"/>
      </w:pPr>
      <w:r>
        <w:rPr>
          <w:rFonts w:ascii="Times New Roman" w:hAnsi="Times New Roman" w:eastAsia="黑体"/>
          <w:b/>
          <w:sz w:val="28"/>
        </w:rPr>
        <w:t>第十一章 结论与展望</w:t>
      </w:r>
    </w:p>
    <w:p>
      <w:pPr>
        <w:spacing w:before="240" w:after="160"/>
      </w:pPr>
      <w:r>
        <w:rPr>
          <w:rFonts w:ascii="Times New Roman" w:hAnsi="Times New Roman" w:eastAsia="黑体"/>
          <w:b/>
          <w:sz w:val="26"/>
        </w:rPr>
        <w:t>11.1 研究总结</w:t>
      </w:r>
    </w:p>
    <w:p>
      <w:pPr>
        <w:spacing w:before="120" w:after="120"/>
      </w:pPr>
      <w:r>
        <w:rPr>
          <w:rFonts w:ascii="Times New Roman" w:hAnsi="Times New Roman" w:eastAsia="宋体"/>
          <w:b w:val="0"/>
          <w:sz w:val="24"/>
        </w:rPr>
        <w:t>本研究通过对新加坡、马来西亚、文莱和中国四个经济体在"特殊教育与康复结合"领域的制度安排、实践模式和转衔流程的系统梳理，得出以下核心结论：</w:t>
      </w:r>
    </w:p>
    <w:p>
      <w:pPr>
        <w:spacing w:before="120" w:after="120"/>
      </w:pPr>
      <w:r>
        <w:rPr>
          <w:rFonts w:ascii="Times New Roman" w:hAnsi="Times New Roman" w:eastAsia="宋体"/>
          <w:b w:val="0"/>
          <w:sz w:val="24"/>
        </w:rPr>
        <w:t>第一，理念共识与制度落差并存。 四地均在理念层面接受了"医教结合""融合教育""社区康复""多学科协作"等话语，但在制度执行层面呈现出显著梯度。新加坡依托其制度整合能力，将多部门协作转化为标准化流程；马来西亚依靠NGO补位和CBR兜底构建了覆盖性的服务网络，但执行质量高度不均；文莱在政策承诺上明确、在早期干预阶段有卫生部平台支撑，但全链条的信息透明度和后端转衔安排严重不足；中国将"医教结合"上升为国家政策后，各地涌现多样化探索，但普遍面临操作标准缺失、学龄期以上资助断层和转衔工具匮乏的困境。</w:t>
      </w:r>
    </w:p>
    <w:p>
      <w:pPr>
        <w:spacing w:before="120" w:after="120"/>
      </w:pPr>
      <w:r>
        <w:rPr>
          <w:rFonts w:ascii="Times New Roman" w:hAnsi="Times New Roman" w:eastAsia="宋体"/>
          <w:b w:val="0"/>
          <w:sz w:val="24"/>
        </w:rPr>
        <w:t>第二，转衔断层是四地共同的制度短板。 无论服务体系如何整合，从"受教育儿童"到"享有社会生活的成年人"之间的转衔，都是最薄弱的环节。特教前端投入的效益，在缺乏有效转衔安排的情况下会被显著侵蚀。</w:t>
      </w:r>
    </w:p>
    <w:p>
      <w:pPr>
        <w:spacing w:before="120" w:after="120"/>
      </w:pPr>
      <w:r>
        <w:rPr>
          <w:rFonts w:ascii="Times New Roman" w:hAnsi="Times New Roman" w:eastAsia="宋体"/>
          <w:b w:val="0"/>
          <w:sz w:val="24"/>
        </w:rPr>
        <w:t>第三，数据与监测的普遍缺失制约了政策迭代。 无法测量，就无法改进。四地均缺乏服务覆盖率、成效和长期纵向追踪的公开数据，这使政策讨论长期停留在理念和政策文件层面，难以进入基于证据的精细化调整阶段。</w:t>
      </w:r>
    </w:p>
    <w:p>
      <w:pPr>
        <w:spacing w:before="240" w:after="160"/>
      </w:pPr>
      <w:r>
        <w:rPr>
          <w:rFonts w:ascii="Times New Roman" w:hAnsi="Times New Roman" w:eastAsia="黑体"/>
          <w:b/>
          <w:sz w:val="26"/>
        </w:rPr>
        <w:t>11.2 研究局限</w:t>
      </w:r>
    </w:p>
    <w:p>
      <w:pPr>
        <w:spacing w:before="120" w:after="120"/>
      </w:pPr>
      <w:r>
        <w:rPr>
          <w:rFonts w:ascii="Times New Roman" w:hAnsi="Times New Roman" w:eastAsia="宋体"/>
          <w:b w:val="0"/>
          <w:sz w:val="24"/>
        </w:rPr>
        <w:t>本研究存在若干明确的局限，需在此如实说明：</w:t>
      </w:r>
    </w:p>
    <w:p>
      <w:pPr>
        <w:spacing w:before="120" w:after="120"/>
      </w:pPr>
      <w:r>
        <w:rPr>
          <w:rFonts w:ascii="Times New Roman" w:hAnsi="Times New Roman" w:eastAsia="宋体"/>
          <w:b w:val="0"/>
          <w:sz w:val="24"/>
        </w:rPr>
        <w:t>第一，信息的时间不对称。关于文莱CBR实践细节的信息主要来自1990年代末期，距今已逾20年，其当代适用性无法确认，本文已对该类信息明确标注年代局限。新加坡、文莱在融合教育和康复领域的最新技术规范、立法文本和精细化财政数据的公开可获得性有限。</w:t>
      </w:r>
    </w:p>
    <w:p>
      <w:pPr>
        <w:spacing w:before="120" w:after="120"/>
      </w:pPr>
      <w:r>
        <w:rPr>
          <w:rFonts w:ascii="Times New Roman" w:hAnsi="Times New Roman" w:eastAsia="宋体"/>
          <w:b w:val="0"/>
          <w:sz w:val="24"/>
        </w:rPr>
        <w:t>第二，缺乏微观操作数据。本研究主要依赖公开的政策文件、学术研究和机构报告，缺乏对一线教师、康复师、特需儿童家庭的一手访谈数据。因此，"教室里发生了什么""资源教室是否真正运转"这类微观问题无法被充分回答。</w:t>
      </w:r>
    </w:p>
    <w:p>
      <w:pPr>
        <w:spacing w:before="120" w:after="120"/>
      </w:pPr>
      <w:r>
        <w:rPr>
          <w:rFonts w:ascii="Times New Roman" w:hAnsi="Times New Roman" w:eastAsia="宋体"/>
          <w:b w:val="0"/>
          <w:sz w:val="24"/>
        </w:rPr>
        <w:t>第三，部分关键问题存在证据空白。如中国普通中小学是否依法配备巡回康复指导师或驻校康复治疗师的编制标准、特需学生中学毕业后进入各成人服务通道的标准操作流程等核心问题，搜索结果未能提供权威依据，本文已明确标注这些"未证实"或"信息缺失"的部分，未做推测性补全。</w:t>
      </w:r>
    </w:p>
    <w:p>
      <w:pPr>
        <w:spacing w:before="240" w:after="160"/>
      </w:pPr>
      <w:r>
        <w:rPr>
          <w:rFonts w:ascii="Times New Roman" w:hAnsi="Times New Roman" w:eastAsia="黑体"/>
          <w:b/>
          <w:sz w:val="26"/>
        </w:rPr>
        <w:t>11.3 面向2026年的展望</w:t>
      </w:r>
    </w:p>
    <w:p>
      <w:pPr>
        <w:spacing w:before="120" w:after="120"/>
      </w:pPr>
      <w:r>
        <w:rPr>
          <w:rFonts w:ascii="Times New Roman" w:hAnsi="Times New Roman" w:eastAsia="宋体"/>
          <w:b w:val="0"/>
          <w:sz w:val="24"/>
        </w:rPr>
        <w:t>站在2026年9月的时间节点回望，可以观察到几个值得持续跟踪的趋势：</w:t>
      </w:r>
    </w:p>
    <w:p>
      <w:pPr>
        <w:spacing w:before="120" w:after="120"/>
      </w:pPr>
      <w:r>
        <w:rPr>
          <w:rFonts w:ascii="Times New Roman" w:hAnsi="Times New Roman" w:eastAsia="宋体"/>
          <w:b w:val="0"/>
          <w:sz w:val="24"/>
        </w:rPr>
        <w:t>其一，"早期干预并入学前教育"的理念正在区域扩散。新加坡2020年将早期干预整合进学前教育体系，这一制度设计在人口老龄化、家庭规模缩小的东亚和东南亚背景下具有突出的政策合理性，未来可能为其他经济体所借鉴。</w:t>
      </w:r>
    </w:p>
    <w:p>
      <w:pPr>
        <w:spacing w:before="120" w:after="120"/>
      </w:pPr>
      <w:r>
        <w:rPr>
          <w:rFonts w:ascii="Times New Roman" w:hAnsi="Times New Roman" w:eastAsia="宋体"/>
          <w:b w:val="0"/>
          <w:sz w:val="24"/>
        </w:rPr>
        <w:t>其二，区域性的集体行动正在形成。东盟秘书处对自闭症家庭支持网络的支持表明，特殊教育已进入区域多边合作议程。但如何从"家庭支持网络"深化为包含CBR标准、转衔工具和师资培训认证在内的制度性合作，仍是开放的问题。</w:t>
      </w:r>
    </w:p>
    <w:p>
      <w:pPr>
        <w:spacing w:before="120" w:after="120"/>
      </w:pPr>
      <w:r>
        <w:rPr>
          <w:rFonts w:ascii="Times New Roman" w:hAnsi="Times New Roman" w:eastAsia="宋体"/>
          <w:b w:val="0"/>
          <w:sz w:val="24"/>
        </w:rPr>
        <w:t>其三，中国"医教结合"从概念走向操作标准的进程值得关注。2014年《提升计划》之后，中国在该领域的研究和政策探索处于上升通道，如果后续能够在操作标准、年龄覆盖和转衔工具方面实现突破，其体量庞大的实践样本将可能为整个区域乃至国际社会提供有价值的参照。</w:t>
      </w:r>
    </w:p>
    <w:p>
      <w:r>
        <w:br w:type="page"/>
      </w:r>
    </w:p>
    <w:p>
      <w:pPr>
        <w:spacing w:before="480" w:after="360"/>
        <w:jc w:val="center"/>
      </w:pPr>
      <w:r>
        <w:rPr>
          <w:rFonts w:ascii="Times New Roman" w:hAnsi="Times New Roman" w:eastAsia="黑体"/>
          <w:b/>
          <w:sz w:val="32"/>
        </w:rPr>
        <w:t>参考文献</w:t>
      </w:r>
    </w:p>
    <w:p>
      <w:pPr>
        <w:spacing w:line="360" w:lineRule="auto" w:before="60" w:after="60"/>
        <w:ind w:left="425" w:hanging="425"/>
      </w:pPr>
      <w:r>
        <w:rPr>
          <w:rFonts w:ascii="Times New Roman" w:hAnsi="Times New Roman" w:eastAsia="宋体"/>
          <w:sz w:val="22"/>
        </w:rPr>
        <w:t>1. Ling, QM. (1990). “Special education in Singapore: Structure, organization &amp; teacher training.” NIE Digital Repository (1990).</w:t>
      </w:r>
    </w:p>
    <w:p>
      <w:pPr>
        <w:spacing w:line="360" w:lineRule="auto" w:before="60" w:after="60"/>
        <w:ind w:left="425" w:hanging="425"/>
      </w:pPr>
      <w:r>
        <w:rPr>
          <w:rFonts w:ascii="Times New Roman" w:hAnsi="Times New Roman" w:eastAsia="宋体"/>
          <w:sz w:val="22"/>
        </w:rPr>
        <w:t>2. 沈晓明.我为什么提出特殊教育“医教结合”的理念 (2012). 上海教育. .</w:t>
      </w:r>
    </w:p>
    <w:p>
      <w:pPr>
        <w:spacing w:line="360" w:lineRule="auto" w:before="60" w:after="60"/>
        <w:ind w:left="425" w:hanging="425"/>
      </w:pPr>
      <w:r>
        <w:rPr>
          <w:rFonts w:ascii="Times New Roman" w:hAnsi="Times New Roman" w:eastAsia="宋体"/>
          <w:sz w:val="22"/>
        </w:rPr>
        <w:t>3. Lynn Ang, LLEA. (2020). “Critical reflections of early childhood care and education in Singapore to build an inclusive society.” Semantic Scholar (2020).. “Critical reflections of early childhood care and education in Singapore to build an inclusive society.” Semantic Scholar (2020).</w:t>
      </w:r>
    </w:p>
    <w:p>
      <w:pPr>
        <w:spacing w:line="360" w:lineRule="auto" w:before="60" w:after="60"/>
        <w:ind w:left="425" w:hanging="425"/>
      </w:pPr>
      <w:r>
        <w:rPr>
          <w:rFonts w:ascii="Times New Roman" w:hAnsi="Times New Roman" w:eastAsia="宋体"/>
          <w:sz w:val="22"/>
        </w:rPr>
        <w:t>4. F (2014). Sarrazin. “[Coordinating schooling, care and rehabilitation]..” Soins; la revue de reference infirmiere (2014).</w:t>
      </w:r>
    </w:p>
    <w:p>
      <w:pPr>
        <w:spacing w:line="360" w:lineRule="auto" w:before="60" w:after="60"/>
        <w:ind w:left="425" w:hanging="425"/>
      </w:pPr>
      <w:r>
        <w:rPr>
          <w:rFonts w:ascii="Times New Roman" w:hAnsi="Times New Roman" w:eastAsia="宋体"/>
          <w:sz w:val="22"/>
        </w:rPr>
        <w:t>5. Tchibozo, G. (2012). “Some Research Directions Ahead.” National Academic Digital Library of Ethiopia (2012).</w:t>
      </w:r>
    </w:p>
    <w:p>
      <w:pPr>
        <w:spacing w:line="360" w:lineRule="auto" w:before="60" w:after="60"/>
        <w:ind w:left="425" w:hanging="425"/>
      </w:pPr>
      <w:r>
        <w:rPr>
          <w:rFonts w:ascii="Times New Roman" w:hAnsi="Times New Roman" w:eastAsia="宋体"/>
          <w:sz w:val="22"/>
        </w:rPr>
        <w:t>6. 许小燕.市域特殊教育“医教结合”模式实践研究——以江苏省南通市为例 (2015). 绥化学院学报. .</w:t>
      </w:r>
    </w:p>
    <w:p>
      <w:pPr>
        <w:spacing w:line="360" w:lineRule="auto" w:before="60" w:after="60"/>
        <w:ind w:left="425" w:hanging="425"/>
      </w:pPr>
      <w:r>
        <w:rPr>
          <w:rFonts w:ascii="Times New Roman" w:hAnsi="Times New Roman" w:eastAsia="宋体"/>
          <w:sz w:val="22"/>
        </w:rPr>
        <w:t>7. Sun, A. (2012). “An Investigation into the Combination of Special Education and Medicine in Shanghai.” Chinese Journal of Special Education (2012).</w:t>
      </w:r>
    </w:p>
    <w:p>
      <w:pPr>
        <w:spacing w:line="360" w:lineRule="auto" w:before="60" w:after="60"/>
        <w:ind w:left="425" w:hanging="425"/>
      </w:pPr>
      <w:r>
        <w:rPr>
          <w:rFonts w:ascii="Times New Roman" w:hAnsi="Times New Roman" w:eastAsia="宋体"/>
          <w:sz w:val="22"/>
        </w:rPr>
        <w:t>8. 刘金霞.“医教结合”的实践经验 (2017). 现代特殊教育. .</w:t>
      </w:r>
    </w:p>
    <w:p>
      <w:pPr>
        <w:spacing w:line="360" w:lineRule="auto" w:before="60" w:after="60"/>
        <w:ind w:left="425" w:hanging="425"/>
      </w:pPr>
      <w:r>
        <w:rPr>
          <w:rFonts w:ascii="Times New Roman" w:hAnsi="Times New Roman" w:eastAsia="宋体"/>
          <w:sz w:val="22"/>
        </w:rPr>
        <w:t>9. Xiaoming, L. (2013). “A Probe into the Curriculum on "Combining Medicine and Education" in Special Schools.” (2013).</w:t>
      </w:r>
    </w:p>
    <w:p>
      <w:pPr>
        <w:spacing w:line="360" w:lineRule="auto" w:before="60" w:after="60"/>
        <w:ind w:left="425" w:hanging="425"/>
      </w:pPr>
      <w:r>
        <w:rPr>
          <w:rFonts w:ascii="Times New Roman" w:hAnsi="Times New Roman" w:eastAsia="宋体"/>
          <w:sz w:val="22"/>
        </w:rPr>
        <w:t>10. 高晶 (2015). 特殊教育学校开展医教结合的实践与认识.生活教育,2015.</w:t>
      </w:r>
    </w:p>
    <w:p>
      <w:pPr>
        <w:spacing w:line="360" w:lineRule="auto" w:before="60" w:after="60"/>
        <w:ind w:left="425" w:hanging="425"/>
      </w:pPr>
      <w:r>
        <w:rPr>
          <w:rFonts w:ascii="Times New Roman" w:hAnsi="Times New Roman" w:eastAsia="宋体"/>
          <w:sz w:val="22"/>
        </w:rPr>
        <w:t>11. 李俊强 (2019). 特殊教育“医教结合”课程模式的整体构建与实践创新.</w:t>
      </w:r>
    </w:p>
    <w:p>
      <w:pPr>
        <w:spacing w:line="360" w:lineRule="auto" w:before="60" w:after="60"/>
        <w:ind w:left="425" w:hanging="425"/>
      </w:pPr>
      <w:r>
        <w:rPr>
          <w:rFonts w:ascii="Times New Roman" w:hAnsi="Times New Roman" w:eastAsia="宋体"/>
          <w:sz w:val="22"/>
        </w:rPr>
        <w:t>12. Saman, HABH. (1990). “The development of modern education in Negara Brunei Darussalam with special reference to provision for the disabled.” Durham e (1990).</w:t>
      </w:r>
    </w:p>
    <w:p>
      <w:pPr>
        <w:spacing w:line="360" w:lineRule="auto" w:before="60" w:after="60"/>
        <w:ind w:left="425" w:hanging="425"/>
      </w:pPr>
      <w:r>
        <w:rPr>
          <w:rFonts w:ascii="Times New Roman" w:hAnsi="Times New Roman" w:eastAsia="宋体"/>
          <w:sz w:val="22"/>
        </w:rPr>
        <w:t>13. KATSURA, R. (2022). “Measures for Persons with Disabled and Vocational Rehabilitation in ASEAN Countries -From the Outline of Support for Children with Intellectual and Mental Disabled-.” Social Science, Humanities and Sustainability Research (2022).</w:t>
      </w:r>
    </w:p>
    <w:p>
      <w:pPr>
        <w:spacing w:line="360" w:lineRule="auto" w:before="60" w:after="60"/>
        <w:ind w:left="425" w:hanging="425"/>
      </w:pPr>
      <w:r>
        <w:rPr>
          <w:rFonts w:ascii="Times New Roman" w:hAnsi="Times New Roman" w:eastAsia="宋体"/>
          <w:sz w:val="22"/>
        </w:rPr>
        <w:t>14. Leong, KT. (2004). “Inclusive Education in Brunei Darussalam.” Asia Pacific Journal of Education (2004).</w:t>
      </w:r>
    </w:p>
    <w:p>
      <w:pPr>
        <w:spacing w:line="360" w:lineRule="auto" w:before="60" w:after="60"/>
        <w:ind w:left="425" w:hanging="425"/>
      </w:pPr>
      <w:r>
        <w:rPr>
          <w:rFonts w:ascii="Times New Roman" w:hAnsi="Times New Roman" w:eastAsia="宋体"/>
          <w:sz w:val="22"/>
        </w:rPr>
        <w:t>15. X, A. (2007). Huang, John J. Wheeler. “PROMOTING THE DEVELOPMENT OF EDUCATIONAL PROGRAMS FOR CHILDREN WITH AUTISM IN SOUTHEAST ASIAN COUNTRIES.” ERIC (2007).</w:t>
      </w:r>
    </w:p>
    <w:p>
      <w:pPr>
        <w:spacing w:line="360" w:lineRule="auto" w:before="60" w:after="60"/>
        <w:ind w:left="425" w:hanging="425"/>
      </w:pPr>
      <w:r>
        <w:rPr>
          <w:rFonts w:ascii="Times New Roman" w:hAnsi="Times New Roman" w:eastAsia="宋体"/>
          <w:sz w:val="22"/>
        </w:rPr>
        <w:t>16. Abdullah, MNLY. (2012). “Embracing Diversity by Bridging the School-to-Work Transition of Students with Disabilities in Malaysia.” springer (2012).</w:t>
      </w:r>
    </w:p>
    <w:p>
      <w:pPr>
        <w:spacing w:line="360" w:lineRule="auto" w:before="60" w:after="60"/>
        <w:ind w:left="425" w:hanging="425"/>
      </w:pPr>
      <w:r>
        <w:rPr>
          <w:rFonts w:ascii="Times New Roman" w:hAnsi="Times New Roman" w:eastAsia="宋体"/>
          <w:sz w:val="22"/>
        </w:rPr>
        <w:t>17. 曹丽洁.浅谈我校个别化教育计划拟定程序 (2016). 新课程(小学). .</w:t>
      </w:r>
    </w:p>
    <w:p>
      <w:pPr>
        <w:spacing w:line="360" w:lineRule="auto" w:before="60" w:after="60"/>
        <w:ind w:left="425" w:hanging="425"/>
      </w:pPr>
      <w:r>
        <w:rPr>
          <w:rFonts w:ascii="Times New Roman" w:hAnsi="Times New Roman" w:eastAsia="宋体"/>
          <w:sz w:val="22"/>
        </w:rPr>
        <w:t>18. 论教育计划 (2001). 中国成人教育. .</w:t>
      </w:r>
    </w:p>
    <w:p>
      <w:pPr>
        <w:spacing w:line="360" w:lineRule="auto" w:before="60" w:after="60"/>
        <w:ind w:left="425" w:hanging="425"/>
      </w:pPr>
      <w:r>
        <w:rPr>
          <w:rFonts w:ascii="Times New Roman" w:hAnsi="Times New Roman" w:eastAsia="宋体"/>
          <w:sz w:val="22"/>
        </w:rPr>
        <w:t>19. 面向实践中治理复杂性的规划教学法探索——以新加坡国立大学《参与式社区设计》课程为例 (2025). 国际城市规划. .</w:t>
      </w:r>
    </w:p>
    <w:p>
      <w:pPr>
        <w:spacing w:line="360" w:lineRule="auto" w:before="60" w:after="60"/>
        <w:ind w:left="425" w:hanging="425"/>
      </w:pPr>
      <w:r>
        <w:rPr>
          <w:rFonts w:ascii="Times New Roman" w:hAnsi="Times New Roman" w:eastAsia="宋体"/>
          <w:sz w:val="22"/>
        </w:rPr>
        <w:t>20. Ryan Putra Samodra, ASREA. (2026). “Penatalaksanaan Fisioterapi Sensorimotor pada Anak dengan Autism Spectrum Disorder: Studi Kasus di PNTC Colomadu.” TRILOGI: Jurnal Ilmu Teknologi, Kesehatan, dan Humaniora (2026).. “Penatalaksanaan Fisioterapi Sensorimotor pada Anak dengan Autism Spectrum Disorder: Studi Kasus di PNTC Colomadu.” TRILOGI: Jurnal Ilmu Teknologi, Kesehatan, dan Humaniora (2026).</w:t>
      </w:r>
    </w:p>
    <w:p>
      <w:pPr>
        <w:spacing w:line="360" w:lineRule="auto" w:before="60" w:after="60"/>
        <w:ind w:left="425" w:hanging="425"/>
      </w:pPr>
      <w:r>
        <w:rPr>
          <w:rFonts w:ascii="Times New Roman" w:hAnsi="Times New Roman" w:eastAsia="宋体"/>
          <w:sz w:val="22"/>
        </w:rPr>
        <w:t>21. Imran Hussain, AKJEA. (2026). “Analyzing the Effectiveness of Combined Physiotherapy and Occupational Therapy in Improving Postural Control, Daily Living Skills, and Social Participation Among Children with Autism and Cerebral Palsy.” International Journal of Innovative Science and Research Technology (2026).. “Analyzing the Effectiveness of Combined Physiotherapy and Occupational Therapy in Improving Postural Control, Daily Living Skills, and Social Participation Among Children with Autism and Cerebral Palsy.” International Journal of Innovative Science and Research Technology (2026).</w:t>
      </w:r>
    </w:p>
    <w:p>
      <w:pPr>
        <w:spacing w:line="360" w:lineRule="auto" w:before="60" w:after="60"/>
        <w:ind w:left="425" w:hanging="425"/>
      </w:pPr>
      <w:r>
        <w:rPr>
          <w:rFonts w:ascii="Times New Roman" w:hAnsi="Times New Roman" w:eastAsia="宋体"/>
          <w:sz w:val="22"/>
        </w:rPr>
        <w:t>22. ABA行为分析联合认知神经与语言训练对自闭症患儿语言恢复的干预效果分析 (2025). 黑龙江医药科学. .</w:t>
      </w:r>
    </w:p>
    <w:p>
      <w:pPr>
        <w:spacing w:line="360" w:lineRule="auto" w:before="60" w:after="60"/>
        <w:ind w:left="425" w:hanging="425"/>
      </w:pPr>
      <w:r>
        <w:rPr>
          <w:rFonts w:ascii="Times New Roman" w:hAnsi="Times New Roman" w:eastAsia="宋体"/>
          <w:sz w:val="22"/>
        </w:rPr>
        <w:t>23. “脑肠轴”理论针刺在孤独症谱系障碍儿童言语社交障碍、异常行为的临床研究 (2025). 海南医学. .</w:t>
      </w:r>
    </w:p>
    <w:p>
      <w:pPr>
        <w:spacing w:line="360" w:lineRule="auto" w:before="60" w:after="60"/>
        <w:ind w:left="425" w:hanging="425"/>
      </w:pPr>
      <w:r>
        <w:rPr>
          <w:rFonts w:ascii="Times New Roman" w:hAnsi="Times New Roman" w:eastAsia="宋体"/>
          <w:sz w:val="22"/>
        </w:rPr>
        <w:t>24. 中美特殊学生中学后转衔评估工具的比较与启示 (2025). 现代特殊教育. .</w:t>
      </w:r>
    </w:p>
    <w:p>
      <w:pPr>
        <w:spacing w:line="360" w:lineRule="auto" w:before="60" w:after="60"/>
        <w:ind w:left="425" w:hanging="425"/>
      </w:pPr>
      <w:r>
        <w:rPr>
          <w:rFonts w:ascii="Times New Roman" w:hAnsi="Times New Roman" w:eastAsia="宋体"/>
          <w:sz w:val="22"/>
        </w:rPr>
        <w:t>25. 《衔青》 (2024). 染整技术. .</w:t>
      </w:r>
    </w:p>
    <w:p>
      <w:pPr>
        <w:spacing w:line="360" w:lineRule="auto" w:before="60" w:after="60"/>
        <w:ind w:left="425" w:hanging="425"/>
      </w:pPr>
      <w:r>
        <w:rPr>
          <w:rFonts w:ascii="Times New Roman" w:hAnsi="Times New Roman" w:eastAsia="宋体"/>
          <w:sz w:val="22"/>
        </w:rPr>
        <w:t>26. 刘恩海,李甜,陈媛媛.跨部门的工作流引擎模式研究 (2018). 计算机应用与软件. .</w:t>
      </w:r>
    </w:p>
    <w:p>
      <w:pPr>
        <w:spacing w:line="360" w:lineRule="auto" w:before="60" w:after="60"/>
        <w:ind w:left="425" w:hanging="425"/>
      </w:pPr>
      <w:r>
        <w:rPr>
          <w:rFonts w:ascii="Times New Roman" w:hAnsi="Times New Roman" w:eastAsia="宋体"/>
          <w:sz w:val="22"/>
        </w:rPr>
        <w:t>27. 胡海,周风生 (2016). 空间数据的共享与安全技术在跨部门审批流程中的应用.</w:t>
      </w:r>
    </w:p>
    <w:p>
      <w:pPr>
        <w:spacing w:line="360" w:lineRule="auto" w:before="60" w:after="60"/>
        <w:ind w:left="425" w:hanging="425"/>
      </w:pPr>
      <w:r>
        <w:rPr>
          <w:rFonts w:ascii="Times New Roman" w:hAnsi="Times New Roman" w:eastAsia="宋体"/>
          <w:sz w:val="22"/>
        </w:rPr>
        <w:t>28. Barbara Elliott, E. (1988). S; Robert L. Schalock et al. “Handbook for Transition Planning and Implementation..” ERIC (1988).. S; Robert L. Schalock et al. “Handbook for Transition Planning and Implementation..” ERIC (1988).</w:t>
      </w:r>
    </w:p>
    <w:p>
      <w:pPr>
        <w:spacing w:line="360" w:lineRule="auto" w:before="60" w:after="60"/>
        <w:ind w:left="425" w:hanging="425"/>
      </w:pPr>
      <w:r>
        <w:rPr>
          <w:rFonts w:ascii="Times New Roman" w:hAnsi="Times New Roman" w:eastAsia="宋体"/>
          <w:sz w:val="22"/>
        </w:rPr>
        <w:t>29. Duckworth, DL. (1998). “Transition resource guide for teachers.” CSUSB ScholarWorks (1998).</w:t>
      </w:r>
    </w:p>
    <w:p>
      <w:pPr>
        <w:spacing w:line="360" w:lineRule="auto" w:before="60" w:after="60"/>
        <w:ind w:left="425" w:hanging="425"/>
      </w:pPr>
      <w:r>
        <w:rPr>
          <w:rFonts w:ascii="Times New Roman" w:hAnsi="Times New Roman" w:eastAsia="宋体"/>
          <w:sz w:val="22"/>
        </w:rPr>
        <w:t>30. 盛永进.个别化教育计划的撰写 (2015). 现代特殊教育. .</w:t>
      </w:r>
    </w:p>
    <w:p>
      <w:pPr>
        <w:spacing w:line="360" w:lineRule="auto" w:before="60" w:after="60"/>
        <w:ind w:left="425" w:hanging="425"/>
      </w:pPr>
      <w:r>
        <w:rPr>
          <w:rFonts w:ascii="Times New Roman" w:hAnsi="Times New Roman" w:eastAsia="宋体"/>
          <w:sz w:val="22"/>
        </w:rPr>
        <w:t>31. Dzulkifli, NHARAMA. (2022). “Potential Role of Physical Activity Intervention for Children with Autism Spectrum Disorder: A Study Protocol.” International Islamic University Malaysia – Garden of Knowledge and Virtue (2022).</w:t>
      </w:r>
    </w:p>
    <w:p>
      <w:pPr>
        <w:spacing w:line="360" w:lineRule="auto" w:before="60" w:after="60"/>
        <w:ind w:left="425" w:hanging="425"/>
      </w:pPr>
      <w:r>
        <w:rPr>
          <w:rFonts w:ascii="Times New Roman" w:hAnsi="Times New Roman" w:eastAsia="宋体"/>
          <w:sz w:val="22"/>
        </w:rPr>
        <w:t>32. O (1987). Lovaas. “Behavioral treatment and normal educational and intellectual functioning in young autistic children..” Journal of consulting and clinical psychology (1987).</w:t>
      </w:r>
    </w:p>
    <w:p>
      <w:pPr>
        <w:spacing w:line="360" w:lineRule="auto" w:before="60" w:after="60"/>
        <w:ind w:left="425" w:hanging="425"/>
      </w:pPr>
      <w:r>
        <w:rPr>
          <w:rFonts w:ascii="Times New Roman" w:hAnsi="Times New Roman" w:eastAsia="宋体"/>
          <w:sz w:val="22"/>
        </w:rPr>
        <w:t>33. S (2017). Dalwai, Deepti Kanade Modak et al. “Effect of Multidisciplinary Intervention on Clinical Outcomes of Children with Autism Spectrum Disorder in Mumbai, India.” Disability, CBR and Inclusive Development (2017).. Dalwai, Deepti Kanade Modak et al. “Effect of Multidisciplinary Intervention on Clinical Outcomes of Children with Autism Spectrum Disorder in Mumbai, India.” Disability, CBR and Inclusive Development (2017).</w:t>
      </w:r>
    </w:p>
    <w:p>
      <w:pPr>
        <w:spacing w:line="360" w:lineRule="auto" w:before="60" w:after="60"/>
        <w:ind w:left="425" w:hanging="425"/>
      </w:pPr>
      <w:r>
        <w:rPr>
          <w:rFonts w:ascii="Times New Roman" w:hAnsi="Times New Roman" w:eastAsia="宋体"/>
          <w:sz w:val="22"/>
        </w:rPr>
        <w:t>34. E, C. (2015). Powers. “Training graduate clinicians to implement speech language pathology, occupational therapy and applied behavior analysis goals in their treatment sessions.” James Madison University (2015).</w:t>
      </w:r>
    </w:p>
    <w:p>
      <w:pPr>
        <w:spacing w:line="360" w:lineRule="auto" w:before="60" w:after="60"/>
        <w:ind w:left="425" w:hanging="425"/>
      </w:pPr>
      <w:r>
        <w:rPr>
          <w:rFonts w:ascii="Times New Roman" w:hAnsi="Times New Roman" w:eastAsia="宋体"/>
          <w:sz w:val="22"/>
        </w:rPr>
        <w:t>35. 音乐疗法、沙盘游戏与言语训练联合干预在促进自闭症患儿康复中的应用价值 (2025). 中国现代药物应用. .</w:t>
      </w:r>
    </w:p>
    <w:p>
      <w:pPr>
        <w:spacing w:line="360" w:lineRule="auto" w:before="60" w:after="60"/>
        <w:ind w:left="425" w:hanging="425"/>
      </w:pPr>
      <w:r>
        <w:rPr>
          <w:rFonts w:ascii="Times New Roman" w:hAnsi="Times New Roman" w:eastAsia="宋体"/>
          <w:sz w:val="22"/>
        </w:rPr>
        <w:t>36. Hemme, LO. (2017). “Intervención fisioterapéutica en el trastorno del espectro autista. Revisión sistemática cualitativa.” Universidad de Alcalá (UAH) Madrid (2017).</w:t>
      </w:r>
    </w:p>
    <w:p>
      <w:pPr>
        <w:spacing w:line="360" w:lineRule="auto" w:before="60" w:after="60"/>
        <w:ind w:left="425" w:hanging="425"/>
      </w:pPr>
      <w:r>
        <w:rPr>
          <w:rFonts w:ascii="Times New Roman" w:hAnsi="Times New Roman" w:eastAsia="宋体"/>
          <w:sz w:val="22"/>
        </w:rPr>
        <w:t>37. 张峰.苯海索联合物理治疗对脑瘫患儿肌张力障碍治疗效果的临床研究 (2017). 南昌大学. .</w:t>
      </w:r>
    </w:p>
    <w:p>
      <w:pPr>
        <w:spacing w:line="360" w:lineRule="auto" w:before="60" w:after="60"/>
        <w:ind w:left="425" w:hanging="425"/>
      </w:pPr>
      <w:r>
        <w:rPr>
          <w:rFonts w:ascii="Times New Roman" w:hAnsi="Times New Roman" w:eastAsia="宋体"/>
          <w:sz w:val="22"/>
        </w:rPr>
        <w:t>38. TANG, HW. (2019). “Financial Planning Mechanisms Available to Persons with Special Needs in Singapore.” Singapore Management University (SMU) (2019).</w:t>
      </w:r>
    </w:p>
    <w:p>
      <w:pPr>
        <w:spacing w:line="360" w:lineRule="auto" w:before="60" w:after="60"/>
        <w:ind w:left="425" w:hanging="425"/>
      </w:pPr>
      <w:r>
        <w:rPr>
          <w:rFonts w:ascii="Times New Roman" w:hAnsi="Times New Roman" w:eastAsia="宋体"/>
          <w:sz w:val="22"/>
        </w:rPr>
        <w:t>39. Ms Christine Hindarto Lim, DMNJM. (2016). “Linking Medical and Social Care.” College of Family Physicians Singapore » College of Family Physicians Singapore (2016).</w:t>
      </w:r>
    </w:p>
    <w:p>
      <w:pPr>
        <w:spacing w:line="360" w:lineRule="auto" w:before="60" w:after="60"/>
        <w:ind w:left="425" w:hanging="425"/>
      </w:pPr>
      <w:r>
        <w:rPr>
          <w:rFonts w:ascii="Times New Roman" w:hAnsi="Times New Roman" w:eastAsia="宋体"/>
          <w:sz w:val="22"/>
        </w:rPr>
        <w:t>40. Phua, NSPAKH. (2011). “Medical tourism and policy implications for health systems: a conceptual framework from a comparative study of Thailand, Singapore and Malaysia.” Globalization and Health (2011).</w:t>
      </w:r>
    </w:p>
    <w:p>
      <w:pPr>
        <w:spacing w:line="360" w:lineRule="auto" w:before="60" w:after="60"/>
        <w:ind w:left="425" w:hanging="425"/>
      </w:pPr>
      <w:r>
        <w:rPr>
          <w:rFonts w:ascii="Times New Roman" w:hAnsi="Times New Roman" w:eastAsia="宋体"/>
          <w:sz w:val="22"/>
        </w:rPr>
        <w:t>41. S (2016). Mohd Mokhtar, L. Abd Jalil et al. “Dental Status and Treatment Needs of Special Needs Children in Negeri Sembilan, Malaysia.” WJRR (2016).. Mohd Mokhtar, L. Abd Jalil et al. “Dental Status and Treatment Needs of Special Needs Children in Negeri Sembilan, Malaysia.” WJRR (2016).</w:t>
      </w:r>
    </w:p>
    <w:p>
      <w:pPr>
        <w:spacing w:line="360" w:lineRule="auto" w:before="60" w:after="60"/>
        <w:ind w:left="425" w:hanging="425"/>
      </w:pPr>
      <w:r>
        <w:rPr>
          <w:rFonts w:ascii="Times New Roman" w:hAnsi="Times New Roman" w:eastAsia="宋体"/>
          <w:sz w:val="22"/>
        </w:rPr>
        <w:t>42. 中国标准研究中心!100029.交通信号不可以“蓝”代“绿” (2000). 世界标准化与质量管理. .</w:t>
      </w:r>
    </w:p>
    <w:p>
      <w:pPr>
        <w:spacing w:line="360" w:lineRule="auto" w:before="60" w:after="60"/>
        <w:ind w:left="425" w:hanging="425"/>
      </w:pPr>
      <w:r>
        <w:rPr>
          <w:rFonts w:ascii="Times New Roman" w:hAnsi="Times New Roman" w:eastAsia="宋体"/>
          <w:sz w:val="22"/>
        </w:rPr>
        <w:t>43. Yulita Triadiarti, LAEA. (2022). “Analysis of the Implementation of Secondary Education Management on the Marginal Contribution of High/Vocational High Schools in North Sumatra.” Atlantis Press (2022).. “Analysis of the Implementation of Secondary Education Management on the Marginal Contribution of High/Vocational High Schools in North Sumatra.” Atlantis Press (2022).</w:t>
      </w:r>
    </w:p>
    <w:p>
      <w:pPr>
        <w:spacing w:line="360" w:lineRule="auto" w:before="60" w:after="60"/>
        <w:ind w:left="425" w:hanging="425"/>
      </w:pPr>
      <w:r>
        <w:rPr>
          <w:rFonts w:ascii="Times New Roman" w:hAnsi="Times New Roman" w:eastAsia="宋体"/>
          <w:sz w:val="22"/>
        </w:rPr>
        <w:t>44. จุรีย์ นุ่มมิตรเลิศ, พ. (2015). ม.*. “Study visit in nursing pedagogy in Singapore.” (2015).</w:t>
      </w:r>
    </w:p>
    <w:p>
      <w:pPr>
        <w:spacing w:line="360" w:lineRule="auto" w:before="60" w:after="60"/>
        <w:ind w:left="425" w:hanging="425"/>
      </w:pPr>
      <w:r>
        <w:rPr>
          <w:rFonts w:ascii="Times New Roman" w:hAnsi="Times New Roman" w:eastAsia="宋体"/>
          <w:sz w:val="22"/>
        </w:rPr>
        <w:t>45. Hank LIM, BAEA. (2015). “AEC Scorecard Phase IV: Furthering the Implementation of the AEC Blueprint Measures The Singapore Country Report.” Economic Research Institute for ASEAN and East Asia (2015).. “AEC Scorecard Phase IV: Furthering the Implementation of the AEC Blueprint Measures The Singapore Country Report.” Economic Research Institute for ASEAN and East Asia (2015).</w:t>
      </w:r>
    </w:p>
    <w:p>
      <w:pPr>
        <w:spacing w:line="360" w:lineRule="auto" w:before="60" w:after="60"/>
        <w:ind w:left="425" w:hanging="425"/>
      </w:pPr>
      <w:r>
        <w:rPr>
          <w:rFonts w:ascii="Times New Roman" w:hAnsi="Times New Roman" w:eastAsia="宋体"/>
          <w:sz w:val="22"/>
        </w:rPr>
        <w:t>46. Darling-Hammond, L. (2017). “Teacher education around the world: What can we learn from international practice?.” European Journal of Teacher Education (2017).</w:t>
      </w:r>
    </w:p>
    <w:p>
      <w:pPr>
        <w:spacing w:line="360" w:lineRule="auto" w:before="60" w:after="60"/>
        <w:ind w:left="425" w:hanging="425"/>
      </w:pPr>
      <w:r>
        <w:rPr>
          <w:rFonts w:ascii="Times New Roman" w:hAnsi="Times New Roman" w:eastAsia="宋体"/>
          <w:sz w:val="22"/>
        </w:rPr>
        <w:t>47. 杜海燕,顾力宏.坚持康教结合完善技术规范 (2013). 社会福利. .</w:t>
      </w:r>
    </w:p>
    <w:p>
      <w:pPr>
        <w:spacing w:line="360" w:lineRule="auto" w:before="60" w:after="60"/>
        <w:ind w:left="425" w:hanging="425"/>
      </w:pPr>
      <w:r>
        <w:rPr>
          <w:rFonts w:ascii="Times New Roman" w:hAnsi="Times New Roman" w:eastAsia="宋体"/>
          <w:sz w:val="22"/>
        </w:rPr>
        <w:t>48. B (2006). Lim. “Constructing a Malaysian early intervention programme for children with disabilities.” (2006).</w:t>
      </w:r>
    </w:p>
    <w:p>
      <w:pPr>
        <w:spacing w:line="360" w:lineRule="auto" w:before="60" w:after="60"/>
        <w:ind w:left="425" w:hanging="425"/>
      </w:pPr>
      <w:r>
        <w:rPr>
          <w:rFonts w:ascii="Times New Roman" w:hAnsi="Times New Roman" w:eastAsia="宋体"/>
          <w:sz w:val="22"/>
        </w:rPr>
        <w:t>49. Mahfudzah Mahadzir, SAH. (2022). “POVERTY IN MARGINAL COMMUNITIES: FACTORS, CULTURES AND COUNSELING INTERVENTION STRATEGIES FOR THE POOR AND HOMELESS.” IJCWED – International Journal For Studies On Children, Women, The Elderly and Persons with Disabilities (eISSN 0128 (2022).</w:t>
      </w:r>
    </w:p>
    <w:p>
      <w:pPr>
        <w:spacing w:line="360" w:lineRule="auto" w:before="60" w:after="60"/>
        <w:ind w:left="425" w:hanging="425"/>
      </w:pPr>
      <w:r>
        <w:rPr>
          <w:rFonts w:ascii="Times New Roman" w:hAnsi="Times New Roman" w:eastAsia="宋体"/>
          <w:sz w:val="22"/>
        </w:rPr>
        <w:t>50. Dinesh Krishna, SSMEA. (2020). “Rapid-Cycle Evaluation in an Early Intervention Program for Children With Developmental Disabilities in South India: Optimizing Service Providers' Quality of Work-Life, Family Program Engagement, and School Enrollment.” Frontiers (2020).. “Rapid-Cycle Evaluation in an Early Intervention Program for Children With Developmental Disabilities in South India: Optimizing Service Providers' Quality of Work-Life, Family Program Engagement, and School Enrollment.” Frontiers (2020).</w:t>
      </w:r>
    </w:p>
    <w:p>
      <w:pPr>
        <w:spacing w:line="360" w:lineRule="auto" w:before="60" w:after="60"/>
        <w:ind w:left="425" w:hanging="425"/>
      </w:pPr>
      <w:r>
        <w:rPr>
          <w:rFonts w:ascii="Times New Roman" w:hAnsi="Times New Roman" w:eastAsia="宋体"/>
          <w:sz w:val="22"/>
        </w:rPr>
        <w:t>51. M (1992). Thorburn. “Parent evaluation of community based rehabilitation in Jamaica.” International Journal of Rehabilitation Research (1992).</w:t>
      </w:r>
    </w:p>
    <w:p>
      <w:pPr>
        <w:spacing w:line="360" w:lineRule="auto" w:before="60" w:after="60"/>
        <w:ind w:left="425" w:hanging="425"/>
      </w:pPr>
      <w:r>
        <w:rPr>
          <w:rFonts w:ascii="Times New Roman" w:hAnsi="Times New Roman" w:eastAsia="宋体"/>
          <w:sz w:val="22"/>
        </w:rPr>
        <w:t>52. J (1965). Ure. “Malaysia and Brunei.” The Journal of Asian Studies (1965).</w:t>
      </w:r>
    </w:p>
    <w:p>
      <w:pPr>
        <w:spacing w:line="360" w:lineRule="auto" w:before="60" w:after="60"/>
        <w:ind w:left="425" w:hanging="425"/>
      </w:pPr>
      <w:r>
        <w:rPr>
          <w:rFonts w:ascii="Times New Roman" w:hAnsi="Times New Roman" w:eastAsia="宋体"/>
          <w:sz w:val="22"/>
        </w:rPr>
        <w:t>53. 李时令,战云龙.社区康复工作的指标体系及其评价方法初探 (1990). 中国医院管理. .</w:t>
      </w:r>
    </w:p>
    <w:p>
      <w:pPr>
        <w:spacing w:line="360" w:lineRule="auto" w:before="60" w:after="60"/>
        <w:ind w:left="425" w:hanging="425"/>
      </w:pPr>
      <w:r>
        <w:rPr>
          <w:rFonts w:ascii="Times New Roman" w:hAnsi="Times New Roman" w:eastAsia="宋体"/>
          <w:sz w:val="22"/>
        </w:rPr>
        <w:t>54. Ho, LY. (2021). “Current status of the early childhood developmental intervention ecosystem in Singapore.” SMJ (2021).</w:t>
      </w:r>
    </w:p>
    <w:p>
      <w:pPr>
        <w:spacing w:line="360" w:lineRule="auto" w:before="60" w:after="60"/>
        <w:ind w:left="425" w:hanging="425"/>
      </w:pPr>
      <w:r>
        <w:rPr>
          <w:rFonts w:ascii="Times New Roman" w:hAnsi="Times New Roman" w:eastAsia="宋体"/>
          <w:sz w:val="22"/>
        </w:rPr>
        <w:t>55. D (1968). Baer, M. Wolf et al. “Some current dimensions of applied behavior analysis..” Journal of applied behavior analysis (1968).. Baer, M. Wolf et al. “Some current dimensions of applied behavior analysis..” Journal of applied behavior analysis (1968).</w:t>
      </w:r>
    </w:p>
    <w:p>
      <w:pPr>
        <w:spacing w:line="360" w:lineRule="auto" w:before="60" w:after="60"/>
        <w:ind w:left="425" w:hanging="425"/>
      </w:pPr>
      <w:r>
        <w:rPr>
          <w:rFonts w:ascii="Times New Roman" w:hAnsi="Times New Roman" w:eastAsia="宋体"/>
          <w:sz w:val="22"/>
        </w:rPr>
        <w:t>56. M, M. (1978). Wolf. “Social validity: the case for subjective measurement or how applied behavior analysis is finding its heart..” Journal of applied behavior analysis (1978).</w:t>
      </w:r>
    </w:p>
    <w:p>
      <w:pPr>
        <w:spacing w:line="360" w:lineRule="auto" w:before="60" w:after="60"/>
        <w:ind w:left="425" w:hanging="425"/>
      </w:pPr>
      <w:r>
        <w:rPr>
          <w:rFonts w:ascii="Times New Roman" w:hAnsi="Times New Roman" w:eastAsia="宋体"/>
          <w:sz w:val="22"/>
        </w:rPr>
        <w:t>57. 以案例为基础的多情境角色模拟教学在康复治疗专业学生中的应用 (2025). 浙江临床医学. .</w:t>
      </w:r>
    </w:p>
    <w:p>
      <w:pPr>
        <w:spacing w:line="360" w:lineRule="auto" w:before="60" w:after="60"/>
        <w:ind w:left="425" w:hanging="425"/>
      </w:pPr>
      <w:r>
        <w:rPr>
          <w:rFonts w:ascii="Times New Roman" w:hAnsi="Times New Roman" w:eastAsia="宋体"/>
          <w:sz w:val="22"/>
        </w:rPr>
        <w:t>58. W B Lian, SKYHEA. (2003). “General practitioners' knowledge on childhood developmental and behavioural disorders..” SMJ (2003).. “General practitioners' knowledge on childhood developmental and behavioural disorders..” SMJ (2003).</w:t>
      </w:r>
    </w:p>
    <w:p>
      <w:pPr>
        <w:spacing w:line="360" w:lineRule="auto" w:before="60" w:after="60"/>
        <w:ind w:left="425" w:hanging="425"/>
      </w:pPr>
      <w:r>
        <w:rPr>
          <w:rFonts w:ascii="Times New Roman" w:hAnsi="Times New Roman" w:eastAsia="宋体"/>
          <w:sz w:val="22"/>
        </w:rPr>
        <w:t>59. Melissa Ng Lee, YAEA. (2011). “Employment of People with Disabilities in Malaysia: Drivers and Inhibitors..” ERIC (2011).. “Employment of People with Disabilities in Malaysia: Drivers and Inhibitors..” ERIC (2011).</w:t>
      </w:r>
    </w:p>
    <w:p>
      <w:pPr>
        <w:spacing w:line="360" w:lineRule="auto" w:before="60" w:after="60"/>
        <w:ind w:left="425" w:hanging="425"/>
      </w:pPr>
      <w:r>
        <w:rPr>
          <w:rFonts w:ascii="Times New Roman" w:hAnsi="Times New Roman" w:eastAsia="宋体"/>
          <w:sz w:val="22"/>
        </w:rPr>
        <w:t>60. 职业转衔需求下专业技能检核表的编制与实施 (2019). 科学咨询(科技·管理). .</w:t>
      </w:r>
    </w:p>
    <w:p>
      <w:pPr>
        <w:spacing w:line="360" w:lineRule="auto" w:before="60" w:after="60"/>
        <w:ind w:left="425" w:hanging="425"/>
      </w:pPr>
      <w:r>
        <w:rPr>
          <w:rFonts w:ascii="Times New Roman" w:hAnsi="Times New Roman" w:eastAsia="宋体"/>
          <w:sz w:val="22"/>
        </w:rPr>
        <w:t>61. Drew, HA. (1975). et al. “Regional Educational Assessment Diagnostic Services: Concept to Action (R.E.A.D.S.). Practicum Report. Maxi I..” ERIC (1975).. et al. “Regional Educational Assessment Diagnostic Services: Concept to Action (R.E.A.D.S.). Practicum Report. Maxi I..” ERIC (1975).</w:t>
      </w:r>
    </w:p>
    <w:p>
      <w:pPr>
        <w:spacing w:line="360" w:lineRule="auto" w:before="60" w:after="60"/>
        <w:ind w:left="425" w:hanging="425"/>
      </w:pPr>
      <w:r>
        <w:rPr>
          <w:rFonts w:ascii="Times New Roman" w:hAnsi="Times New Roman" w:eastAsia="宋体"/>
          <w:sz w:val="22"/>
        </w:rPr>
        <w:t>62. children, AOMSOHCPGASDIP. (2010). .Singapore medical journal (2010).</w:t>
      </w:r>
    </w:p>
    <w:p>
      <w:pPr>
        <w:spacing w:line="360" w:lineRule="auto" w:before="60" w:after="60"/>
        <w:ind w:left="425" w:hanging="425"/>
      </w:pPr>
      <w:r>
        <w:rPr>
          <w:rFonts w:ascii="Times New Roman" w:hAnsi="Times New Roman" w:eastAsia="宋体"/>
          <w:sz w:val="22"/>
        </w:rPr>
        <w:t>63. M (2012). Elsabbagh, G. Divan et al. “Global Prevalence of Autism and Other Pervasive Developmental Disorders.” Autism Research (2012).. Elsabbagh, G. Divan et al. “Global Prevalence of Autism and Other Pervasive Developmental Disorders.” Autism Research (2012).</w:t>
      </w:r>
    </w:p>
    <w:p>
      <w:pPr>
        <w:spacing w:line="360" w:lineRule="auto" w:before="60" w:after="60"/>
        <w:ind w:left="425" w:hanging="425"/>
      </w:pPr>
      <w:r>
        <w:rPr>
          <w:rFonts w:ascii="Times New Roman" w:hAnsi="Times New Roman" w:eastAsia="宋体"/>
          <w:sz w:val="22"/>
        </w:rPr>
        <w:t>64. P, C. (2007). Johnson, S. Myers. “Identification and Evaluation of Children With Autism Spectrum Disorders.” Pediatrics (2007).</w:t>
      </w:r>
    </w:p>
    <w:p>
      <w:pPr>
        <w:spacing w:line="360" w:lineRule="auto" w:before="60" w:after="60"/>
        <w:ind w:left="425" w:hanging="425"/>
      </w:pPr>
      <w:r>
        <w:rPr>
          <w:rFonts w:ascii="Times New Roman" w:hAnsi="Times New Roman" w:eastAsia="宋体"/>
          <w:sz w:val="22"/>
        </w:rPr>
        <w:t>65. M, M. (1990). Quah. “Special Education in Singapore.” International Journal of Disability Development and Education (1990).</w:t>
      </w:r>
    </w:p>
    <w:p>
      <w:pPr>
        <w:spacing w:line="360" w:lineRule="auto" w:before="60" w:after="60"/>
        <w:ind w:left="425" w:hanging="425"/>
      </w:pPr>
      <w:r>
        <w:rPr>
          <w:rFonts w:ascii="Times New Roman" w:hAnsi="Times New Roman" w:eastAsia="宋体"/>
          <w:sz w:val="22"/>
        </w:rPr>
        <w:t>66. Badar, SR. (2016). “Developing and evaluating communication supporting classrooms in Brunei primary schools.” White Rose eTheses Online (2016).</w:t>
      </w:r>
    </w:p>
    <w:p>
      <w:pPr>
        <w:spacing w:line="360" w:lineRule="auto" w:before="60" w:after="60"/>
        <w:ind w:left="425" w:hanging="425"/>
      </w:pPr>
      <w:r>
        <w:rPr>
          <w:rFonts w:ascii="Times New Roman" w:hAnsi="Times New Roman" w:eastAsia="宋体"/>
          <w:sz w:val="22"/>
        </w:rPr>
        <w:t>67. Fina, VD. (2015). “Domestic Laws and National Plans or Strategies for the Protection of the Rights of People with Autism: An Appraisal.” (2015).</w:t>
      </w:r>
    </w:p>
    <w:p>
      <w:pPr>
        <w:spacing w:line="360" w:lineRule="auto" w:before="60" w:after="60"/>
        <w:ind w:left="425" w:hanging="425"/>
      </w:pPr>
      <w:r>
        <w:rPr>
          <w:rFonts w:ascii="Times New Roman" w:hAnsi="Times New Roman" w:eastAsia="宋体"/>
          <w:sz w:val="22"/>
        </w:rPr>
        <w:t>68. 严羽.有机水稻生产过程中生物制剂应用与操作规程制定 (2021). 扬州大学. .</w:t>
      </w:r>
    </w:p>
    <w:p>
      <w:pPr>
        <w:spacing w:line="360" w:lineRule="auto" w:before="60" w:after="60"/>
        <w:ind w:left="425" w:hanging="425"/>
      </w:pPr>
      <w:r>
        <w:rPr>
          <w:rFonts w:ascii="Times New Roman" w:hAnsi="Times New Roman" w:eastAsia="宋体"/>
          <w:sz w:val="22"/>
        </w:rPr>
        <w:t>69. 赵仁,赵毅,何双凌等 (2014). 中国现代中药. .</w:t>
      </w:r>
    </w:p>
    <w:p>
      <w:pPr>
        <w:spacing w:line="360" w:lineRule="auto" w:before="60" w:after="60"/>
        <w:ind w:left="425" w:hanging="425"/>
      </w:pPr>
      <w:r>
        <w:rPr>
          <w:rFonts w:ascii="Times New Roman" w:hAnsi="Times New Roman" w:eastAsia="宋体"/>
          <w:sz w:val="22"/>
        </w:rPr>
        <w:t>70. W (2012). Yip, W. Hsiao et al. “Early appraisal of China's huge and complex health-care reforms.” The Lancet (2012).. Yip, W. Hsiao et al. “Early appraisal of China's huge and complex health-care reforms.” The Lancet (2012).</w:t>
      </w:r>
    </w:p>
    <w:p>
      <w:pPr>
        <w:spacing w:line="360" w:lineRule="auto" w:before="60" w:after="60"/>
        <w:ind w:left="425" w:hanging="425"/>
      </w:pPr>
      <w:r>
        <w:rPr>
          <w:rFonts w:ascii="Times New Roman" w:hAnsi="Times New Roman" w:eastAsia="宋体"/>
          <w:sz w:val="22"/>
        </w:rPr>
        <w:t>71. A, SSA. (2015). R. NAIR. “Accountability, vedic &amp; schumacher’s philosophy andautoethnography: An advocation for tax relief for sibling caregivers in Malaysia / Siva Subramanian A.R. Nair.” UM Students' Repository (2015).</w:t>
      </w:r>
    </w:p>
    <w:p>
      <w:pPr>
        <w:spacing w:line="360" w:lineRule="auto" w:before="60" w:after="60"/>
        <w:ind w:left="425" w:hanging="425"/>
      </w:pPr>
      <w:r>
        <w:rPr>
          <w:rFonts w:ascii="Times New Roman" w:hAnsi="Times New Roman" w:eastAsia="宋体"/>
          <w:sz w:val="22"/>
        </w:rPr>
        <w:t>72. Aniza Ismail, RSAREA. (2022). “The Economic Burden and Determinant Factors of Parents/Caregivers of Children with Cerebral Palsy in Malaysia: A Mixed Methods Study.” MDPI (2022).. “The Economic Burden and Determinant Factors of Parents/Caregivers of Children with Cerebral Palsy in Malaysia: A Mixed Methods Study.” MDPI (2022).</w:t>
      </w:r>
    </w:p>
    <w:p>
      <w:pPr>
        <w:spacing w:line="360" w:lineRule="auto" w:before="60" w:after="60"/>
        <w:ind w:left="425" w:hanging="425"/>
      </w:pPr>
      <w:r>
        <w:rPr>
          <w:rFonts w:ascii="Times New Roman" w:hAnsi="Times New Roman" w:eastAsia="宋体"/>
          <w:sz w:val="22"/>
        </w:rPr>
        <w:t>73. 新加坡特殊教育的实施路径、特征及启示 文等 ().</w:t>
      </w:r>
    </w:p>
    <w:p>
      <w:pPr>
        <w:spacing w:line="360" w:lineRule="auto" w:before="60" w:after="60"/>
        <w:ind w:left="425" w:hanging="425"/>
      </w:pPr>
      <w:r>
        <w:rPr>
          <w:rFonts w:ascii="Times New Roman" w:hAnsi="Times New Roman" w:eastAsia="宋体"/>
          <w:sz w:val="22"/>
        </w:rPr>
        <w:t>74. al, SMCCWSRITCIAAPMNE. (). School Management Concerning Collaboration with Social Resources in the Community – Its Approaches and Problem Mohamad Nor et al. School Management Concerning Collaboration with Social Resources in the Community – Its Approaches and Problem Mohamad Nor et al.</w:t>
      </w:r>
    </w:p>
    <w:p>
      <w:pPr>
        <w:spacing w:line="360" w:lineRule="auto" w:before="60" w:after="60"/>
        <w:ind w:left="425" w:hanging="425"/>
      </w:pPr>
      <w:r>
        <w:rPr>
          <w:rFonts w:ascii="Times New Roman" w:hAnsi="Times New Roman" w:eastAsia="宋体"/>
          <w:sz w:val="22"/>
        </w:rPr>
        <w:t>75. 我国特殊需要学生转衔研究综述 陈影等 ().</w:t>
      </w:r>
    </w:p>
    <w:p>
      <w:pPr>
        <w:spacing w:line="360" w:lineRule="auto" w:before="60" w:after="60"/>
        <w:ind w:left="425" w:hanging="425"/>
      </w:pPr>
      <w:r>
        <w:rPr>
          <w:rFonts w:ascii="Times New Roman" w:hAnsi="Times New Roman" w:eastAsia="宋体"/>
          <w:sz w:val="22"/>
        </w:rPr>
        <w:t>76. 医教结合:特殊教育改革的可行途径 张伟锋 ().</w:t>
      </w:r>
    </w:p>
    <w:p>
      <w:pPr>
        <w:spacing w:line="360" w:lineRule="auto" w:before="60" w:after="60"/>
        <w:ind w:left="425" w:hanging="425"/>
      </w:pPr>
      <w:r>
        <w:rPr>
          <w:rFonts w:ascii="Times New Roman" w:hAnsi="Times New Roman" w:eastAsia="宋体"/>
          <w:sz w:val="22"/>
        </w:rPr>
        <w:t>77. 東南アジアにおける発達障害者に対する保健政策の現状と課題【仮 (). 東南アジアにおける発達障害者に対する保健政策の現状と課題【仮訳】.</w:t>
      </w:r>
    </w:p>
    <w:p>
      <w:pPr>
        <w:spacing w:line="360" w:lineRule="auto" w:before="60" w:after="60"/>
        <w:ind w:left="425" w:hanging="425"/>
      </w:pPr>
      <w:r>
        <w:rPr>
          <w:rFonts w:ascii="Times New Roman" w:hAnsi="Times New Roman" w:eastAsia="宋体"/>
          <w:sz w:val="22"/>
        </w:rPr>
        <w:t>78. ](https://www, AGOEA. (). iseas.edu.sg/wp-content/uploads/pdfs/ASEANFocus - August 2019.pdf). iseas.edu.sg/wp-content/uploads/pdfs/ASEANFocus - August 2019.pdf).</w:t>
      </w:r>
    </w:p>
    <w:p>
      <w:pPr>
        <w:spacing w:line="360" w:lineRule="auto" w:before="60" w:after="60"/>
        <w:ind w:left="425" w:hanging="425"/>
      </w:pPr>
      <w:r>
        <w:rPr>
          <w:rFonts w:ascii="Times New Roman" w:hAnsi="Times New Roman" w:eastAsia="宋体"/>
          <w:sz w:val="22"/>
        </w:rPr>
        <w:t>79. 新加坡职业教育及训练发展现况与策略之探讨 龔雅雯等 ().</w:t>
      </w:r>
    </w:p>
    <w:p>
      <w:pPr>
        <w:spacing w:line="360" w:lineRule="auto" w:before="60" w:after="60"/>
        <w:ind w:left="425" w:hanging="425"/>
      </w:pPr>
      <w:r>
        <w:rPr>
          <w:rFonts w:ascii="Times New Roman" w:hAnsi="Times New Roman" w:eastAsia="宋体"/>
          <w:sz w:val="22"/>
        </w:rPr>
        <w:t>80. Chinese inclusive education: enactment, obstacles, and possible paths Lihong Wu ().</w:t>
      </w:r>
    </w:p>
    <w:p>
      <w:pPr>
        <w:spacing w:line="360" w:lineRule="auto" w:before="60" w:after="60"/>
        <w:ind w:left="425" w:hanging="425"/>
      </w:pPr>
      <w:r>
        <w:rPr>
          <w:rFonts w:ascii="Times New Roman" w:hAnsi="Times New Roman" w:eastAsia="宋体"/>
          <w:sz w:val="22"/>
        </w:rPr>
        <w:t>81. 浅谈个别化教育计划的制订与实施 李雯 ().</w:t>
      </w:r>
    </w:p>
    <w:p>
      <w:pPr>
        <w:spacing w:line="360" w:lineRule="auto" w:before="60" w:after="60"/>
        <w:ind w:left="425" w:hanging="425"/>
      </w:pPr>
      <w:r>
        <w:rPr>
          <w:rFonts w:ascii="Times New Roman" w:hAnsi="Times New Roman" w:eastAsia="宋体"/>
          <w:sz w:val="22"/>
        </w:rPr>
        <w:t>82. al, SESRBVWOFCWSNISHBE. (). SPECIAL EDUCATION (SPED) SCHOOLS RUN BY VOLUNTARY WELFARE ORGANISATIONS FOR CHILDREN WITH SPECIAL NEEDS IN SINGAPORE Hajar Bt et al. SPECIAL EDUCATION (SPED) SCHOOLS RUN BY VOLUNTARY WELFARE ORGANISATIONS FOR CHILDREN WITH SPECIAL NEEDS IN SINGAPORE Hajar Bt et al.</w:t>
      </w:r>
    </w:p>
    <w:p>
      <w:pPr>
        <w:spacing w:line="360" w:lineRule="auto" w:before="60" w:after="60"/>
        <w:ind w:left="425" w:hanging="425"/>
      </w:pPr>
      <w:r>
        <w:rPr>
          <w:rFonts w:ascii="Times New Roman" w:hAnsi="Times New Roman" w:eastAsia="宋体"/>
          <w:sz w:val="22"/>
        </w:rPr>
        <w:t>83. 鼠神经生长因子联合核心稳定性训练治疗脑瘫患儿临床评价 李秀丽等 ().</w:t>
      </w:r>
    </w:p>
    <w:p>
      <w:pPr>
        <w:spacing w:line="360" w:lineRule="auto" w:before="60" w:after="60"/>
        <w:ind w:left="425" w:hanging="425"/>
      </w:pPr>
      <w:r>
        <w:rPr>
          <w:rFonts w:ascii="Times New Roman" w:hAnsi="Times New Roman" w:eastAsia="宋体"/>
          <w:sz w:val="22"/>
        </w:rPr>
        <w:t>84. al, EHEOFSNSIMACSNHMGE. (). Enhancing Higher Education Opportunities for Special Needs Students in Malaysia: A Case Study Norul Huda Mohd Ghazali et al. Enhancing Higher Education Opportunities for Special Needs Students in Malaysia: A Case Study Norul Huda Mohd Ghazali et al.</w:t>
      </w:r>
    </w:p>
    <w:p>
      <w:pPr>
        <w:spacing w:line="360" w:lineRule="auto" w:before="60" w:after="60"/>
        <w:ind w:left="425" w:hanging="425"/>
      </w:pPr>
      <w:r>
        <w:rPr>
          <w:rFonts w:ascii="Times New Roman" w:hAnsi="Times New Roman" w:eastAsia="宋体"/>
          <w:sz w:val="22"/>
        </w:rPr>
        <w:t>85. al, RAROGASNETSTIPICIMACFJMTLE. (). ROLES AND RESPONSIBILITIES OF GENERAL AND SPECIAL NEEDS EDUCATORS TOWARD SUPPORTING TRANSITIONS INTO PRIMARY INCLUSIVE CLASSROOMS IN MALAYSIA: A CONCEPTUAL FRAMEWORK Joanna Mah Tjun Lyn et al. ROLES AND RESPONSIBILITIES OF GENERAL AND SPECIAL NEEDS EDUCATORS TOWARD SUPPORTING TRANSITIONS INTO PRIMARY INCLUSIVE CLASSROOMS IN MALAYSIA: A CONCEPTUAL FRAMEWORK Joanna Mah Tjun Lyn et al.</w:t>
      </w:r>
    </w:p>
    <w:p>
      <w:pPr>
        <w:spacing w:line="360" w:lineRule="auto" w:before="60" w:after="60"/>
        <w:ind w:left="425" w:hanging="425"/>
      </w:pPr>
      <w:r>
        <w:rPr>
          <w:rFonts w:ascii="Times New Roman" w:hAnsi="Times New Roman" w:eastAsia="宋体"/>
          <w:sz w:val="22"/>
        </w:rPr>
        <w:t>86. 《中国康复治疗师岗位标准编制指南》专家共识 陈文华等 ().</w:t>
      </w:r>
    </w:p>
    <w:p>
      <w:pPr>
        <w:spacing w:line="360" w:lineRule="auto" w:before="60" w:after="60"/>
        <w:ind w:left="425" w:hanging="425"/>
      </w:pPr>
      <w:r>
        <w:rPr>
          <w:rFonts w:ascii="Times New Roman" w:hAnsi="Times New Roman" w:eastAsia="宋体"/>
          <w:sz w:val="22"/>
        </w:rPr>
        <w:t>87. 新课程背景下特殊学生个别化教育计划的制定 于素红 ().</w:t>
      </w:r>
    </w:p>
    <w:p>
      <w:pPr>
        <w:spacing w:line="360" w:lineRule="auto" w:before="60" w:after="60"/>
        <w:ind w:left="425" w:hanging="425"/>
      </w:pPr>
      <w:r>
        <w:rPr>
          <w:rFonts w:ascii="Times New Roman" w:hAnsi="Times New Roman" w:eastAsia="宋体"/>
          <w:sz w:val="22"/>
        </w:rPr>
        <w:t>88. 政府财政补贴与医保支付方式改革效果——基于中国南方某特大城市试点的评估 徐进等 ().</w:t>
      </w:r>
    </w:p>
    <w:p>
      <w:pPr>
        <w:spacing w:line="360" w:lineRule="auto" w:before="60" w:after="60"/>
        <w:ind w:left="425" w:hanging="425"/>
      </w:pPr>
      <w:r>
        <w:rPr>
          <w:rFonts w:ascii="Times New Roman" w:hAnsi="Times New Roman" w:eastAsia="宋体"/>
          <w:sz w:val="22"/>
        </w:rPr>
        <w:t>89. al, AOSFPSSTISDPLCE. (). Application of SNS Flexible Protection System Simulation Technology in Slope Disaster Prevention Liangrui CHEN et al. Application of SNS Flexible Protection System Simulation Technology in Slope Disaster Prevention Liangrui CHEN et al.</w:t>
      </w:r>
    </w:p>
    <w:p>
      <w:pPr>
        <w:spacing w:line="360" w:lineRule="auto" w:before="60" w:after="60"/>
        <w:ind w:left="425" w:hanging="425"/>
      </w:pPr>
      <w:r>
        <w:rPr>
          <w:rFonts w:ascii="Times New Roman" w:hAnsi="Times New Roman" w:eastAsia="宋体"/>
          <w:sz w:val="22"/>
        </w:rPr>
        <w:t>90. T/R 组件一体化组装工艺技术 王鑫等 ().</w:t>
      </w:r>
    </w:p>
    <w:p>
      <w:pPr>
        <w:spacing w:line="360" w:lineRule="auto" w:before="60" w:after="60"/>
        <w:ind w:left="425" w:hanging="425"/>
      </w:pPr>
      <w:r>
        <w:rPr>
          <w:rFonts w:ascii="Times New Roman" w:hAnsi="Times New Roman" w:eastAsia="宋体"/>
          <w:sz w:val="22"/>
        </w:rPr>
        <w:t>91. 中国落实税收法定原则研究 刘定华等 ().</w:t>
      </w:r>
    </w:p>
    <w:p>
      <w:pPr>
        <w:spacing w:line="360" w:lineRule="auto" w:before="60" w:after="60"/>
        <w:ind w:left="425" w:hanging="425"/>
      </w:pPr>
      <w:r>
        <w:rPr>
          <w:rFonts w:ascii="Times New Roman" w:hAnsi="Times New Roman" w:eastAsia="宋体"/>
          <w:sz w:val="22"/>
        </w:rPr>
        <w:t>92. DEVELOPMENTAL DIFFICULTIES IN EARLY CHILDHOOD: Prevention, EAAIIAAREEA. (). DEVELOPMENTAL DIFFICULTIES IN EARLY CHILDHOOD: Prevention, early identification, assessment and intervention in low- and middle-income countries: A REVIEW Ertem et al. DEVELOPMENTAL DIFFICULTIES IN EARLY CHILDHOOD: Prevention, early identification, assessment and intervention in low- and middle-income countries: A REVIEW Ertem et al.</w:t>
      </w:r>
    </w:p>
    <w:p>
      <w:pPr>
        <w:spacing w:line="360" w:lineRule="auto" w:before="60" w:after="60"/>
        <w:ind w:left="425" w:hanging="425"/>
      </w:pPr>
      <w:r>
        <w:rPr>
          <w:rFonts w:ascii="Times New Roman" w:hAnsi="Times New Roman" w:eastAsia="宋体"/>
          <w:sz w:val="22"/>
        </w:rPr>
        <w:t>93. 实施家庭中心范式早期干预实践: 常规本位模式与项目评价 马书采 ().</w:t>
      </w:r>
    </w:p>
    <w:p>
      <w:pPr>
        <w:spacing w:line="360" w:lineRule="auto" w:before="60" w:after="60"/>
        <w:ind w:left="425" w:hanging="425"/>
      </w:pPr>
      <w:r>
        <w:rPr>
          <w:rFonts w:ascii="Times New Roman" w:hAnsi="Times New Roman" w:eastAsia="宋体"/>
          <w:sz w:val="22"/>
        </w:rPr>
        <w:t>94. ASSESSMENT OF LOCAL COMMUNITY PARTICIPATION IN PEAT SWAMP FOREST CONSERVATION AND REHABILITATION PROGRAM IN SELANGOR, MMBEA. (). ASSESSMENT OF LOCAL COMMUNITY PARTICIPATION IN PEAT SWAMP FOREST CONSERVATION AND REHABILITATION PROGRAM IN SELANGOR, MALAYSIA MOHD BASRI et al. ASSESSMENT OF LOCAL COMMUNITY PARTICIPATION IN PEAT SWAMP FOREST CONSERVATION AND REHABILITATION PROGRAM IN SELANGOR, MALAYSIA MOHD BASRI et al.</w:t>
      </w:r>
    </w:p>
    <w:p>
      <w:pPr>
        <w:spacing w:line="360" w:lineRule="auto" w:before="60" w:after="60"/>
        <w:ind w:left="425" w:hanging="425"/>
      </w:pPr>
      <w:r>
        <w:rPr>
          <w:rFonts w:ascii="Times New Roman" w:hAnsi="Times New Roman" w:eastAsia="宋体"/>
          <w:sz w:val="22"/>
        </w:rPr>
        <w:t>95. 孤独症谱系障碍防治三级网络规范化建设专家共识 中国妇幼保健协会儿童自闭症防治专委会等 ().</w:t>
      </w:r>
    </w:p>
    <w:p>
      <w:pPr>
        <w:spacing w:line="360" w:lineRule="auto" w:before="60" w:after="60"/>
        <w:ind w:left="425" w:hanging="425"/>
      </w:pPr>
      <w:r>
        <w:rPr>
          <w:rFonts w:ascii="Times New Roman" w:hAnsi="Times New Roman" w:eastAsia="宋体"/>
          <w:sz w:val="22"/>
        </w:rPr>
        <w:t>96. 错殆畸形数字化早期干预与多学科联合治疗 刘安琪等 ().</w:t>
      </w:r>
    </w:p>
    <w:p>
      <w:pPr>
        <w:spacing w:line="360" w:lineRule="auto" w:before="60" w:after="60"/>
        <w:ind w:left="425" w:hanging="425"/>
      </w:pPr>
      <w:r>
        <w:rPr>
          <w:rFonts w:ascii="Times New Roman" w:hAnsi="Times New Roman" w:eastAsia="宋体"/>
          <w:sz w:val="22"/>
        </w:rPr>
        <w:t>97. 美国障碍儿童的中学后个别化转衔计划及对我国的启示 田艳萍 ().</w:t>
      </w:r>
    </w:p>
    <w:p>
      <w:pPr>
        <w:spacing w:line="360" w:lineRule="auto" w:before="60" w:after="60"/>
        <w:ind w:left="425" w:hanging="425"/>
      </w:pPr>
      <w:r>
        <w:rPr>
          <w:rFonts w:ascii="Times New Roman" w:hAnsi="Times New Roman" w:eastAsia="宋体"/>
          <w:sz w:val="22"/>
        </w:rPr>
        <w:t>98. 新加坡中等职业教育改革和发展研究——兼谈对山东省高水平中等职业学校建设的启示 袁广西 ().</w:t>
      </w:r>
    </w:p>
    <w:p>
      <w:pPr>
        <w:spacing w:line="360" w:lineRule="auto" w:before="60" w:after="60"/>
        <w:ind w:left="425" w:hanging="425"/>
      </w:pPr>
      <w:r>
        <w:rPr>
          <w:rFonts w:ascii="Times New Roman" w:hAnsi="Times New Roman" w:eastAsia="宋体"/>
          <w:sz w:val="22"/>
        </w:rPr>
        <w:t>99. Ab, IEPIMEIPACMA. (). Latiff et al. Latiff et al.</w:t>
      </w:r>
    </w:p>
    <w:p>
      <w:pPr>
        <w:spacing w:line="360" w:lineRule="auto" w:before="60" w:after="60"/>
        <w:ind w:left="425" w:hanging="425"/>
      </w:pPr>
      <w:r>
        <w:rPr>
          <w:rFonts w:ascii="Times New Roman" w:hAnsi="Times New Roman" w:eastAsia="宋体"/>
          <w:sz w:val="22"/>
        </w:rPr>
        <w:t>100. 替罗非班联合双抗治疗进展性脑卒中的临床效果 张国威 ().</w:t>
      </w:r>
    </w:p>
    <w:p>
      <w:pPr>
        <w:spacing w:line="360" w:lineRule="auto" w:before="60" w:after="60"/>
        <w:ind w:left="425" w:hanging="425"/>
      </w:pPr>
      <w:r>
        <w:rPr>
          <w:rFonts w:ascii="Times New Roman" w:hAnsi="Times New Roman" w:eastAsia="宋体"/>
          <w:sz w:val="22"/>
        </w:rPr>
        <w:t>101. 以目标为导向的康复锻炼在老年脑外伤患者术后护理中的应用效果分析 张慧 ().</w:t>
      </w:r>
    </w:p>
    <w:p>
      <w:pPr>
        <w:spacing w:line="360" w:lineRule="auto" w:before="60" w:after="60"/>
        <w:ind w:left="425" w:hanging="425"/>
      </w:pPr>
      <w:r>
        <w:rPr>
          <w:rFonts w:ascii="Times New Roman" w:hAnsi="Times New Roman" w:eastAsia="宋体"/>
          <w:sz w:val="22"/>
        </w:rPr>
        <w:t>102. Disability support for students with special educational needs at institutes of higher learning in Singapore: A historical perspective to developments in education policy Damaris D E Carlisle ().</w:t>
      </w:r>
    </w:p>
    <w:p>
      <w:pPr>
        <w:spacing w:line="360" w:lineRule="auto" w:before="60" w:after="60"/>
        <w:ind w:left="425" w:hanging="425"/>
      </w:pPr>
      <w:r>
        <w:rPr>
          <w:rFonts w:ascii="Times New Roman" w:hAnsi="Times New Roman" w:eastAsia="宋体"/>
          <w:sz w:val="22"/>
        </w:rPr>
        <w:t>103. 岩黄连规范化种植标准操作规程(SOP) 蒋水元等 ().</w:t>
      </w:r>
    </w:p>
    <w:p>
      <w:pPr>
        <w:spacing w:line="360" w:lineRule="auto" w:before="60" w:after="60"/>
        <w:ind w:left="425" w:hanging="425"/>
      </w:pPr>
      <w:r>
        <w:rPr>
          <w:rFonts w:ascii="Times New Roman" w:hAnsi="Times New Roman" w:eastAsia="宋体"/>
          <w:sz w:val="22"/>
        </w:rPr>
        <w:t>104. 标准操作规程（SOP）在消毒供应中心中的应用 汪敏 ().</w:t>
      </w:r>
    </w:p>
    <w:p>
      <w:pPr>
        <w:spacing w:line="360" w:lineRule="auto" w:before="60" w:after="60"/>
        <w:ind w:left="425" w:hanging="425"/>
      </w:pPr>
      <w:r>
        <w:rPr>
          <w:rFonts w:ascii="Times New Roman" w:hAnsi="Times New Roman" w:eastAsia="宋体"/>
          <w:sz w:val="22"/>
        </w:rPr>
        <w:t>105. 特殊教育法与特殊教育发展 丁志权 ().</w:t>
      </w:r>
    </w:p>
    <w:p>
      <w:pPr>
        <w:spacing w:line="360" w:lineRule="auto" w:before="60" w:after="60"/>
        <w:ind w:left="425" w:hanging="425"/>
      </w:pPr>
      <w:r>
        <w:rPr>
          <w:rFonts w:ascii="Times New Roman" w:hAnsi="Times New Roman" w:eastAsia="宋体"/>
          <w:sz w:val="22"/>
        </w:rPr>
        <w:t>106. 制造“专家”:儿童注意力训练机构的形象塑造 李伟玉等 ().</w:t>
      </w:r>
    </w:p>
    <w:p>
      <w:pPr>
        <w:spacing w:line="360" w:lineRule="auto" w:before="60" w:after="60"/>
        <w:ind w:left="425" w:hanging="425"/>
      </w:pPr>
      <w:r>
        <w:rPr>
          <w:rFonts w:ascii="Times New Roman" w:hAnsi="Times New Roman" w:eastAsia="宋体"/>
          <w:sz w:val="22"/>
        </w:rPr>
        <w:t>107. 中国康复服务保障政策及支付体系研究 杨立雄等 ().</w:t>
      </w:r>
    </w:p>
    <w:p>
      <w:pPr>
        <w:spacing w:line="360" w:lineRule="auto" w:before="60" w:after="60"/>
        <w:ind w:left="425" w:hanging="425"/>
      </w:pPr>
      <w:r>
        <w:rPr>
          <w:rFonts w:ascii="Times New Roman" w:hAnsi="Times New Roman" w:eastAsia="宋体"/>
          <w:sz w:val="22"/>
        </w:rPr>
        <w:t>108. al, IHFDALEASDLE. (). INCLUSIVE HEALTHCARE FOR DISABILITY ACROSS LIFESPAN – EPIDEMIOLOGY AND SERVICES Dr Lim et al. INCLUSIVE HEALTHCARE FOR DISABILITY ACROSS LIFESPAN – EPIDEMIOLOGY AND SERVICES Dr Lim et al.</w:t>
      </w:r>
    </w:p>
    <w:p>
      <w:pPr>
        <w:spacing w:line="360" w:lineRule="auto" w:before="60" w:after="60"/>
        <w:ind w:left="425" w:hanging="425"/>
      </w:pPr>
      <w:r>
        <w:rPr>
          <w:rFonts w:ascii="Times New Roman" w:hAnsi="Times New Roman" w:eastAsia="宋体"/>
          <w:sz w:val="22"/>
        </w:rPr>
        <w:t>109. 标准成本法下辅助生产费用的核算 赵秀云(副教授 ().</w:t>
      </w:r>
    </w:p>
    <w:sectPr w:rsidR="00FC693F" w:rsidRPr="0006063C" w:rsidSect="00034616">
      <w:pgSz w:w="12240" w:h="15840"/>
      <w:pgMar w:top="1440" w:right="1803" w:bottom="1440" w:left="1803" w:header="720" w:footer="720" w:gutter="0"/>
      <w:cols w:space="720"/>
      <w:docGrid w:linePitch="360"/>
    </w:sectPr>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8"/>
        <w:gridCol w:w="3816"/>
        <w:gridCol w:w="2388"/>
      </w:tblGrid>
      <w:tr w14:paraId="5902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0CEA51D2">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中文术语</w:t>
            </w:r>
          </w:p>
        </w:tc>
        <w:tc>
          <w:tcPr>
            <w:tcW w:w="2765" w:type="dxa"/>
          </w:tcPr>
          <w:p w14:paraId="6E46DDCE">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英文/当地表述</w:t>
            </w:r>
          </w:p>
        </w:tc>
        <w:tc>
          <w:tcPr>
            <w:tcW w:w="2765" w:type="dxa"/>
          </w:tcPr>
          <w:p w14:paraId="23ED6396">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主要适用经济体</w:t>
            </w:r>
          </w:p>
        </w:tc>
      </w:tr>
      <w:tr w14:paraId="7979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67C49976">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医教结合</w:t>
            </w:r>
          </w:p>
        </w:tc>
        <w:tc>
          <w:tcPr>
            <w:tcW w:w="2765" w:type="dxa"/>
          </w:tcPr>
          <w:p w14:paraId="43CB26A1">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Medical-Education Integration</w:t>
            </w:r>
          </w:p>
        </w:tc>
        <w:tc>
          <w:tcPr>
            <w:tcW w:w="2765" w:type="dxa"/>
          </w:tcPr>
          <w:p w14:paraId="7D8B9725">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中国</w:t>
            </w:r>
          </w:p>
        </w:tc>
      </w:tr>
      <w:tr w14:paraId="16E32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3DBA8518">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早期干预整合并入学前教育</w:t>
            </w:r>
          </w:p>
        </w:tc>
        <w:tc>
          <w:tcPr>
            <w:tcW w:w="2765" w:type="dxa"/>
          </w:tcPr>
          <w:p w14:paraId="73D65E13">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EIPIC (Early Intervention Programme for Infants and Children)</w:t>
            </w:r>
          </w:p>
        </w:tc>
        <w:tc>
          <w:tcPr>
            <w:tcW w:w="2765" w:type="dxa"/>
          </w:tcPr>
          <w:p w14:paraId="18479FCA">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新加坡</w:t>
            </w:r>
          </w:p>
        </w:tc>
      </w:tr>
      <w:tr w14:paraId="71AAA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52AD4E11">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特殊教育学校</w:t>
            </w:r>
          </w:p>
        </w:tc>
        <w:tc>
          <w:tcPr>
            <w:tcW w:w="2765" w:type="dxa"/>
          </w:tcPr>
          <w:p w14:paraId="49B64F08">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SPED schools</w:t>
            </w:r>
          </w:p>
        </w:tc>
        <w:tc>
          <w:tcPr>
            <w:tcW w:w="2765" w:type="dxa"/>
          </w:tcPr>
          <w:p w14:paraId="260D9398">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新加坡</w:t>
            </w:r>
          </w:p>
        </w:tc>
      </w:tr>
      <w:tr w14:paraId="08EE6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295AD506">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特殊教育协调员/辅助教师</w:t>
            </w:r>
          </w:p>
        </w:tc>
        <w:tc>
          <w:tcPr>
            <w:tcW w:w="2765" w:type="dxa"/>
          </w:tcPr>
          <w:p w14:paraId="363F1B69">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SENCO / SENA</w:t>
            </w:r>
          </w:p>
        </w:tc>
        <w:tc>
          <w:tcPr>
            <w:tcW w:w="2765" w:type="dxa"/>
          </w:tcPr>
          <w:p w14:paraId="54E0C227">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文莱</w:t>
            </w:r>
          </w:p>
        </w:tc>
      </w:tr>
      <w:tr w14:paraId="4B5B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26138774">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社区康复中心</w:t>
            </w:r>
          </w:p>
        </w:tc>
        <w:tc>
          <w:tcPr>
            <w:tcW w:w="2765" w:type="dxa"/>
          </w:tcPr>
          <w:p w14:paraId="436638D3">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CBR (Community-Based Rehabilitation)</w:t>
            </w:r>
          </w:p>
        </w:tc>
        <w:tc>
          <w:tcPr>
            <w:tcW w:w="2765" w:type="dxa"/>
          </w:tcPr>
          <w:p w14:paraId="06DAFC0E">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马来西亚（JKM体系）</w:t>
            </w:r>
          </w:p>
        </w:tc>
      </w:tr>
      <w:tr w14:paraId="5DD1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1AB3D5CE">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个别化教育计划</w:t>
            </w:r>
          </w:p>
        </w:tc>
        <w:tc>
          <w:tcPr>
            <w:tcW w:w="2765" w:type="dxa"/>
          </w:tcPr>
          <w:p w14:paraId="7B933C86">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IEP</w:t>
            </w:r>
          </w:p>
        </w:tc>
        <w:tc>
          <w:tcPr>
            <w:tcW w:w="2765" w:type="dxa"/>
          </w:tcPr>
          <w:p w14:paraId="36BC93EE">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四地通用</w:t>
            </w:r>
          </w:p>
        </w:tc>
      </w:tr>
      <w:tr w14:paraId="68E1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5C3EE8EA">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转衔服务</w:t>
            </w:r>
          </w:p>
        </w:tc>
        <w:tc>
          <w:tcPr>
            <w:tcW w:w="2765" w:type="dxa"/>
          </w:tcPr>
          <w:p w14:paraId="59F4B597">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Transition Service</w:t>
            </w:r>
          </w:p>
        </w:tc>
        <w:tc>
          <w:tcPr>
            <w:tcW w:w="2765" w:type="dxa"/>
          </w:tcPr>
          <w:p w14:paraId="60D64DD1">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四地通用</w:t>
            </w:r>
          </w:p>
        </w:tc>
      </w:tr>
      <w:tr w14:paraId="5777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578D97B8">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特别需求班</w:t>
            </w:r>
          </w:p>
        </w:tc>
        <w:tc>
          <w:tcPr>
            <w:tcW w:w="2765" w:type="dxa"/>
          </w:tcPr>
          <w:p w14:paraId="11C47C31">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Special Education Classes</w:t>
            </w:r>
          </w:p>
        </w:tc>
        <w:tc>
          <w:tcPr>
            <w:tcW w:w="2765" w:type="dxa"/>
          </w:tcPr>
          <w:p w14:paraId="5C73B8C9">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马来西亚</w:t>
            </w:r>
          </w:p>
        </w:tc>
      </w:tr>
      <w:tr w14:paraId="4E3BC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Pr>
          <w:p w14:paraId="173EA001">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多元支付体系</w:t>
            </w:r>
          </w:p>
        </w:tc>
        <w:tc>
          <w:tcPr>
            <w:tcW w:w="2765" w:type="dxa"/>
          </w:tcPr>
          <w:p w14:paraId="26F7F668">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3M (Medisave/Medishield/Medifund) + CHAS</w:t>
            </w:r>
          </w:p>
        </w:tc>
        <w:tc>
          <w:tcPr>
            <w:tcW w:w="2765" w:type="dxa"/>
          </w:tcPr>
          <w:p w14:paraId="197B8E33">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新加坡</w:t>
            </w:r>
          </w:p>
        </w:tc>
      </w:tr>
    </w:tbl>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9"/>
        <w:gridCol w:w="2016"/>
        <w:gridCol w:w="1619"/>
        <w:gridCol w:w="1649"/>
        <w:gridCol w:w="1629"/>
      </w:tblGrid>
      <w:tr w14:paraId="3F279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Pr>
          <w:p w14:paraId="17EBAF4E">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维度</w:t>
            </w:r>
          </w:p>
        </w:tc>
        <w:tc>
          <w:tcPr>
            <w:tcW w:w="1659" w:type="dxa"/>
          </w:tcPr>
          <w:p w14:paraId="10432CC4">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新加坡</w:t>
            </w:r>
          </w:p>
        </w:tc>
        <w:tc>
          <w:tcPr>
            <w:tcW w:w="1659" w:type="dxa"/>
          </w:tcPr>
          <w:p w14:paraId="1318D7DA">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马来西亚</w:t>
            </w:r>
          </w:p>
        </w:tc>
        <w:tc>
          <w:tcPr>
            <w:tcW w:w="1659" w:type="dxa"/>
          </w:tcPr>
          <w:p w14:paraId="78BF9C9C">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文莱</w:t>
            </w:r>
          </w:p>
        </w:tc>
        <w:tc>
          <w:tcPr>
            <w:tcW w:w="1659" w:type="dxa"/>
          </w:tcPr>
          <w:p w14:paraId="57F510E6">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中国</w:t>
            </w:r>
          </w:p>
        </w:tc>
      </w:tr>
      <w:tr w14:paraId="4279F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Pr>
          <w:p w14:paraId="64330C99">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核心政策概念</w:t>
            </w:r>
          </w:p>
        </w:tc>
        <w:tc>
          <w:tcPr>
            <w:tcW w:w="1659" w:type="dxa"/>
          </w:tcPr>
          <w:p w14:paraId="1827C486">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服务整合（multi-agency integration）；早期干预并入学前教育</w:t>
            </w:r>
          </w:p>
        </w:tc>
        <w:tc>
          <w:tcPr>
            <w:tcW w:w="1659" w:type="dxa"/>
          </w:tcPr>
          <w:p w14:paraId="4D2B762E">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分级安置+社区康复兜底；多主体协作</w:t>
            </w:r>
          </w:p>
        </w:tc>
        <w:tc>
          <w:tcPr>
            <w:tcW w:w="1659" w:type="dxa"/>
          </w:tcPr>
          <w:p w14:paraId="77874EDF">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包容教育政策+教育部SEU统筹</w:t>
            </w:r>
          </w:p>
        </w:tc>
        <w:tc>
          <w:tcPr>
            <w:tcW w:w="1659" w:type="dxa"/>
          </w:tcPr>
          <w:p w14:paraId="3C86B8D2">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"医教结合"+"学段衔接"</w:t>
            </w:r>
          </w:p>
        </w:tc>
      </w:tr>
      <w:tr w14:paraId="57413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Pr>
          <w:p w14:paraId="56642BC6">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关键制度节点</w:t>
            </w:r>
          </w:p>
        </w:tc>
        <w:tc>
          <w:tcPr>
            <w:tcW w:w="1659" w:type="dxa"/>
          </w:tcPr>
          <w:p w14:paraId="3203A399">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2020年EIPIC整合；SPED评估标准化</w:t>
            </w:r>
          </w:p>
        </w:tc>
        <w:tc>
          <w:tcPr>
            <w:tcW w:w="1659" w:type="dxa"/>
          </w:tcPr>
          <w:p w14:paraId="72B4C3A0">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CBR体系；特殊班制度；NGO协作</w:t>
            </w:r>
          </w:p>
        </w:tc>
        <w:tc>
          <w:tcPr>
            <w:tcW w:w="1659" w:type="dxa"/>
          </w:tcPr>
          <w:p w14:paraId="43153DFB">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1994年SEU成立；SPN-21改革；SENCO/SENA</w:t>
            </w:r>
          </w:p>
        </w:tc>
        <w:tc>
          <w:tcPr>
            <w:tcW w:w="1659" w:type="dxa"/>
          </w:tcPr>
          <w:p w14:paraId="25EB2D54">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2014年《提升计划》；各地"医教结合"实验区</w:t>
            </w:r>
          </w:p>
        </w:tc>
      </w:tr>
      <w:tr w14:paraId="07EE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Pr>
          <w:p w14:paraId="694C75E0">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主导部门</w:t>
            </w:r>
          </w:p>
        </w:tc>
        <w:tc>
          <w:tcPr>
            <w:tcW w:w="1659" w:type="dxa"/>
          </w:tcPr>
          <w:p w14:paraId="5A2C5A47">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教育部+社会家庭发展部+卫生部</w:t>
            </w:r>
          </w:p>
        </w:tc>
        <w:tc>
          <w:tcPr>
            <w:tcW w:w="1659" w:type="dxa"/>
          </w:tcPr>
          <w:p w14:paraId="572870E6">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教育部+社会福利部门+NGO</w:t>
            </w:r>
          </w:p>
        </w:tc>
        <w:tc>
          <w:tcPr>
            <w:tcW w:w="1659" w:type="dxa"/>
          </w:tcPr>
          <w:p w14:paraId="0BD365FE">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教育部+卫生部</w:t>
            </w:r>
          </w:p>
        </w:tc>
        <w:tc>
          <w:tcPr>
            <w:tcW w:w="1659" w:type="dxa"/>
          </w:tcPr>
          <w:p w14:paraId="0133F2D2">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教育部+残联+卫健委</w:t>
            </w:r>
          </w:p>
        </w:tc>
      </w:tr>
      <w:tr w14:paraId="48A1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Pr>
          <w:p w14:paraId="5CE48081">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转衔政策成熟度</w:t>
            </w:r>
          </w:p>
        </w:tc>
        <w:tc>
          <w:tcPr>
            <w:tcW w:w="1659" w:type="dxa"/>
          </w:tcPr>
          <w:p w14:paraId="1E1074FB">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中等（职业技能分流体系清晰，特需专属转衔支持欠细化）</w:t>
            </w:r>
          </w:p>
        </w:tc>
        <w:tc>
          <w:tcPr>
            <w:tcW w:w="1659" w:type="dxa"/>
          </w:tcPr>
          <w:p w14:paraId="7B5C6385">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初等（有框架性路径，教师个体执行，缺乏系统工具）</w:t>
            </w:r>
          </w:p>
        </w:tc>
        <w:tc>
          <w:tcPr>
            <w:tcW w:w="1659" w:type="dxa"/>
          </w:tcPr>
          <w:p w14:paraId="42409388">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不明（早期评估工具存在，中学后转衔细节缺失）</w:t>
            </w:r>
          </w:p>
        </w:tc>
        <w:tc>
          <w:tcPr>
            <w:tcW w:w="1659" w:type="dxa"/>
          </w:tcPr>
          <w:p w14:paraId="04A6C3C5">
            <w:pPr>
              <w:pageBreakBefore w:val="0"/>
              <w:widowControl/>
              <w:kinsoku/>
              <w:wordWrap/>
              <w:overflowPunct/>
              <w:topLinePunct w:val="0"/>
              <w:autoSpaceDE/>
              <w:autoSpaceDN/>
              <w:bidi w:val="0"/>
              <w:adjustRightInd/>
              <w:snapToGrid/>
              <w:spacing w:after="400" w:line="360" w:lineRule="auto"/>
              <w:ind w:left="0" w:left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初等（2014年后研究增长快，操作标准缺乏）</w:t>
            </w:r>
          </w:p>
        </w:tc>
      </w:tr>
    </w:tbl>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120" w:after="12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