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沙盒不是治疗三类沙盒范式的理论边界与孤独症儿童沟通干预的机制重构"/>
    <w:p>
      <w:pPr>
        <w:pStyle w:val="Heading1"/>
      </w:pPr>
      <w:r>
        <w:rPr>
          <w:rFonts w:hint="eastAsia"/>
        </w:rPr>
        <w:t xml:space="preserve">沙盒不是治疗：三类沙盒范式的理论边界与孤独症儿童沟通干预的机制重构</w:t>
      </w:r>
    </w:p>
    <w:bookmarkStart w:id="9" w:name="基于五大核心理念的全球案例分析"/>
    <w:p>
      <w:pPr>
        <w:pStyle w:val="Heading2"/>
      </w:pPr>
      <w:r>
        <w:rPr>
          <w:rFonts w:hint="eastAsia"/>
        </w:rPr>
        <w:t xml:space="preserve">——基于五大核心理念的全球案例分析</w:t>
      </w:r>
    </w:p>
    <w:p>
      <w:pPr>
        <w:pStyle w:val="FirstParagraph"/>
      </w:pPr>
      <w:r>
        <w:rPr>
          <w:i/>
          <w:iCs/>
        </w:rPr>
        <w:t xml:space="preserve">Every child has something to communicate. Our responsibility is to help them find a way to be heard.</w:t>
      </w:r>
    </w:p>
    <w:p>
      <w:pPr>
        <w:pStyle w:val="BodyText"/>
      </w:pPr>
      <w:r>
        <w:rPr>
          <w:rFonts w:hint="eastAsia"/>
        </w:rPr>
        <w:t xml:space="preserve">每个孩子都有想要表达的东西；我们的责任，是帮助他们找到被听见的方式。</w:t>
      </w:r>
    </w:p>
    <w:p>
      <w:pPr>
        <w:pStyle w:val="BodyText"/>
      </w:pPr>
      <w:r>
        <w:t xml:space="preserve">Early Intervention · Communication · Inclusion</w:t>
      </w:r>
    </w:p>
    <w:p>
      <w:pPr>
        <w:pStyle w:val="BodyText"/>
      </w:pPr>
      <w:r>
        <w:rPr>
          <w:rFonts w:hint="eastAsia"/>
        </w:rPr>
        <w:t xml:space="preserve">〔作者姓名〕</w:t>
      </w:r>
    </w:p>
    <w:p>
      <w:pPr>
        <w:pStyle w:val="BodyText"/>
      </w:pPr>
      <w:r>
        <w:rPr>
          <w:rFonts w:hint="eastAsia"/>
        </w:rPr>
        <w:t xml:space="preserve">〔作者单位，院系/机构名称〕</w:t>
      </w:r>
    </w:p>
    <w:p>
      <w:pPr>
        <w:pStyle w:val="BodyText"/>
      </w:pPr>
      <w:r>
        <w:rPr>
          <w:rFonts w:hint="eastAsia"/>
          <w:b/>
          <w:bCs/>
        </w:rPr>
        <w:t xml:space="preserve">作者注</w:t>
      </w:r>
    </w:p>
    <w:p>
      <w:pPr>
        <w:pStyle w:val="BodyText"/>
      </w:pPr>
      <w:r>
        <w:rPr>
          <w:rFonts w:hint="eastAsia"/>
        </w:rPr>
        <w:t xml:space="preserve">〔作者姓名〕，〔单位与部门〕；ORCID</w:t>
      </w:r>
      <w:r>
        <w:t xml:space="preserve"> </w:t>
      </w:r>
      <w:r>
        <w:rPr>
          <w:rFonts w:hint="eastAsia"/>
        </w:rPr>
        <w:t xml:space="preserve">iD：〔待补〕。</w:t>
      </w:r>
    </w:p>
    <w:p>
      <w:pPr>
        <w:pStyle w:val="BodyText"/>
      </w:pPr>
      <w:r>
        <w:rPr>
          <w:rFonts w:hint="eastAsia"/>
        </w:rPr>
        <w:t xml:space="preserve">本研究未接受任何专项资助；作者声明不存在利益冲突。</w:t>
      </w:r>
    </w:p>
    <w:p>
      <w:pPr>
        <w:pStyle w:val="BodyText"/>
      </w:pPr>
      <w:r>
        <w:rPr>
          <w:rFonts w:hint="eastAsia"/>
        </w:rPr>
        <w:t xml:space="preserve">文献核验说明：本文为可编辑的论文草稿。参考文献各条目的作者姓名、出版年份、卷期、页码与</w:t>
      </w:r>
      <w:r>
        <w:t xml:space="preserve"> DOI </w:t>
      </w:r>
      <w:r>
        <w:rPr>
          <w:rFonts w:hint="eastAsia"/>
        </w:rPr>
        <w:t xml:space="preserve">均须在投稿前依据所用数据库（如</w:t>
      </w:r>
      <w:r>
        <w:t xml:space="preserve"> </w:t>
      </w:r>
      <w:r>
        <w:rPr>
          <w:rFonts w:hint="eastAsia"/>
        </w:rPr>
        <w:t xml:space="preserve">PubMed、PsycINFO、Scopus）的最终记录逐条核定；其中</w:t>
      </w:r>
      <w:r>
        <w:t xml:space="preserve"> Ke </w:t>
      </w:r>
      <w:r>
        <w:rPr>
          <w:rFonts w:hint="eastAsia"/>
        </w:rPr>
        <w:t xml:space="preserve">等（2023）的出版年份与其正式卷期、Thirumanickam</w:t>
      </w:r>
      <w:r>
        <w:t xml:space="preserve"> </w:t>
      </w:r>
      <w:r>
        <w:rPr>
          <w:rFonts w:hint="eastAsia"/>
        </w:rPr>
        <w:t xml:space="preserve">等（2026）的最终出版信息尤需确认。</w:t>
      </w:r>
    </w:p>
    <w:p>
      <w:pPr>
        <w:pStyle w:val="BodyText"/>
      </w:pPr>
      <w:r>
        <w:rPr>
          <w:rFonts w:hint="eastAsia"/>
        </w:rPr>
        <w:t xml:space="preserve">题记中的英文引语”Every</w:t>
      </w:r>
      <w:r>
        <w:t xml:space="preserve"> child has something to </w:t>
      </w:r>
      <w:r>
        <w:rPr>
          <w:rFonts w:hint="eastAsia"/>
        </w:rPr>
        <w:t xml:space="preserve">communicate…“需注明原始出处（作者、年份与来源类型）；若确认为教学讲稿或无明确作者的表述，建议改作题记处理而非文献引用，并在投稿前与期刊编辑确认。</w:t>
      </w:r>
    </w:p>
    <w:p>
      <w:pPr>
        <w:pStyle w:val="BodyText"/>
      </w:pPr>
      <w:r>
        <w:rPr>
          <w:rFonts w:hint="eastAsia"/>
        </w:rPr>
        <w:t xml:space="preserve">通讯作者：〔姓名〕，〔通讯地址〕，〔电子邮箱〕。</w:t>
      </w:r>
    </w:p>
    <w:p>
      <w:r>
        <w:pict>
          <v:rect style="width:0;height:1.5pt" o:hralign="center" o:hrstd="t" o:hr="t"/>
        </w:pict>
      </w:r>
    </w:p>
    <w:bookmarkEnd w:id="9"/>
    <w:bookmarkStart w:id="10" w:name="摘要"/>
    <w:p>
      <w:pPr>
        <w:pStyle w:val="Heading2"/>
      </w:pPr>
      <w:r>
        <w:rPr>
          <w:rFonts w:hint="eastAsia"/>
        </w:rPr>
        <w:t xml:space="preserve">摘要</w:t>
      </w:r>
    </w:p>
    <w:p>
      <w:pPr>
        <w:pStyle w:val="FirstParagraph"/>
      </w:pPr>
      <w:r>
        <w:rPr>
          <w:rFonts w:hint="eastAsia"/>
        </w:rPr>
        <w:t xml:space="preserve">孤独症谱系障碍（autism</w:t>
      </w:r>
      <w:r>
        <w:t xml:space="preserve"> spectrum disorder, </w:t>
      </w:r>
      <w:r>
        <w:rPr>
          <w:rFonts w:hint="eastAsia"/>
        </w:rPr>
        <w:t xml:space="preserve">ASD）儿童在社会沟通、共同注意与功能性语言使用方面存在程度不一的困难。结构化干预能够在特定情境中有效训练目标行为，但习得技能向自然生活情境的迁移仍是特殊教育与早期干预领域的难题。近年来，基于游戏的干预、自然情境发展行为干预（naturalistic</w:t>
      </w:r>
      <w:r>
        <w:t xml:space="preserve"> developmental behavioral interventions, </w:t>
      </w:r>
      <w:r>
        <w:rPr>
          <w:rFonts w:hint="eastAsia"/>
        </w:rPr>
        <w:t xml:space="preserve">NDBIs）、辅助与替代沟通（augmentative</w:t>
      </w:r>
      <w:r>
        <w:t xml:space="preserve"> and alternative communication, </w:t>
      </w:r>
      <w:r>
        <w:rPr>
          <w:rFonts w:hint="eastAsia"/>
        </w:rPr>
        <w:t xml:space="preserve">AAC）以及数字游戏环境受到持续关注。本文提出的核心论点是：沙盒本身不是治疗方法；真正具有干预价值的是”以儿童主动游戏为载体，将</w:t>
      </w:r>
      <w:r>
        <w:t xml:space="preserve"> </w:t>
      </w:r>
      <w:r>
        <w:rPr>
          <w:rFonts w:hint="eastAsia"/>
        </w:rPr>
        <w:t xml:space="preserve">AAC、成人语言示范、自然社会互动与功能性沟通目标嵌入其中”这一组合。为避免跨范式外推，本文将常被混用的三类”沙盒”——实体沙盘与沙盘游戏治疗、数字沙盒游戏（以</w:t>
      </w:r>
      <w:r>
        <w:t xml:space="preserve"> Minecraft </w:t>
      </w:r>
      <w:r>
        <w:rPr>
          <w:rFonts w:hint="eastAsia"/>
        </w:rPr>
        <w:t xml:space="preserve">为代表）与虚拟现实社会沙盒——区分为理论机制与证据基础各不相同的三种范式，并据此重审国际案例：美国</w:t>
      </w:r>
      <w:r>
        <w:t xml:space="preserve"> PLAY </w:t>
      </w:r>
      <w:r>
        <w:rPr>
          <w:rFonts w:hint="eastAsia"/>
        </w:rPr>
        <w:t xml:space="preserve">Project、JASPER、英国与爱尔兰方向的</w:t>
      </w:r>
      <w:r>
        <w:t xml:space="preserve"> Social Craft </w:t>
      </w:r>
      <w:r>
        <w:rPr>
          <w:rFonts w:hint="eastAsia"/>
        </w:rPr>
        <w:t xml:space="preserve">框架、美国虚拟社会沙盒设计研究，以及澳大利亚一项</w:t>
      </w:r>
      <w:r>
        <w:t xml:space="preserve"> Minecraft </w:t>
      </w:r>
      <w:r>
        <w:rPr>
          <w:rFonts w:hint="eastAsia"/>
        </w:rPr>
        <w:t xml:space="preserve">社会协作试点研究。其中，澳大利亚试点研究（11</w:t>
      </w:r>
      <w:r>
        <w:t xml:space="preserve"> </w:t>
      </w:r>
      <w:r>
        <w:rPr>
          <w:rFonts w:hint="eastAsia"/>
        </w:rPr>
        <w:t xml:space="preserve">名</w:t>
      </w:r>
      <w:r>
        <w:t xml:space="preserve"> 10–12 </w:t>
      </w:r>
      <w:r>
        <w:rPr>
          <w:rFonts w:hint="eastAsia"/>
        </w:rPr>
        <w:t xml:space="preserve">岁儿童，社会技能改善未达统计显著）被有意作为限制性案例使用，以说明高参与度并不等于沟通能力的改善。结论认为，沙盒游戏宜被定位为辅助性、生态化的沟通干预媒介，而非已经获得充分验证的独立治疗方法。</w:t>
      </w:r>
    </w:p>
    <w:p>
      <w:pPr>
        <w:pStyle w:val="BodyText"/>
      </w:pPr>
      <w:r>
        <w:rPr>
          <w:rFonts w:hint="eastAsia"/>
          <w:b/>
          <w:bCs/>
        </w:rPr>
        <w:t xml:space="preserve">关键词：</w:t>
      </w:r>
      <w:r>
        <w:t xml:space="preserve"> </w:t>
      </w:r>
      <w:r>
        <w:rPr>
          <w:rFonts w:hint="eastAsia"/>
        </w:rPr>
        <w:t xml:space="preserve">孤独症谱系障碍；沙盒游戏；沙盘游戏治疗；Minecraft；辅助与替代沟通；自然情境发展行为干预；社会沟通；泛化</w:t>
      </w:r>
    </w:p>
    <w:bookmarkEnd w:id="10"/>
    <w:bookmarkStart w:id="11" w:name="abstract"/>
    <w:p>
      <w:pPr>
        <w:pStyle w:val="Heading2"/>
      </w:pPr>
      <w:r>
        <w:t xml:space="preserve">Abstract</w:t>
      </w:r>
    </w:p>
    <w:p>
      <w:pPr>
        <w:pStyle w:val="FirstParagraph"/>
      </w:pPr>
      <w:r>
        <w:t xml:space="preserve">Children with autism spectrum disorder (ASD) show varying degrees of difficulty in social communication, joint attention, and the functional use of language. Structured interventions can effectively train target behaviors in specific settings, yet the generalization of acquired skills to natural life contexts remains a persistent challenge. This article advances a core argument: the sandbox itself is not a treatment; what carries intervention value is the embedding of augmentative and alternative communication (AAC), adult language modeling, natural social interaction, and functional communication goals within child-initiated play. To prevent cross-paradigm inference, the article distinguishes three commonly conflated forms of</w:t>
      </w:r>
      <w:r>
        <w:t xml:space="preserve"> </w:t>
      </w:r>
      <w:r>
        <w:t xml:space="preserve">“sandbox”</w:t>
      </w:r>
      <w:r>
        <w:t xml:space="preserve">—physical sandplay therapy, digital sandbox games (exemplified by Minecraft), and virtual reality social sandboxes—as three paradigms with distinct mechanisms and evidentiary bases. International cases are then re-examined accordingly: the PLAY Project, JASPER, the Social Craft framework, a virtual social sandbox design study, and an Australian Minecraft social collaboration pilot. The Australian pilot (11 children aged 10–12 years; improvements in social skills not statistically significant) is deliberately treated as a limiting case, demonstrating that high engagement does not equal improved communicative competence. The article concludes that sandbox play is best positioned as an adjunctive, ecologically oriented communication medium rather than a standalone, well-established treatment for ASD.</w:t>
      </w:r>
    </w:p>
    <w:p>
      <w:pPr>
        <w:pStyle w:val="BodyText"/>
      </w:pPr>
      <w:r>
        <w:rPr>
          <w:b/>
          <w:bCs/>
        </w:rPr>
        <w:t xml:space="preserve">Keywords:</w:t>
      </w:r>
      <w:r>
        <w:t xml:space="preserve"> </w:t>
      </w:r>
      <w:r>
        <w:t xml:space="preserve">autism spectrum disorder; sandbox play; sandplay therapy; Minecraft; augmentative and alternative communication; naturalistic developmental behavioral intervention; social communication; generalization</w:t>
      </w:r>
    </w:p>
    <w:p>
      <w:r>
        <w:pict>
          <v:rect style="width:0;height:1.5pt" o:hralign="center" o:hrstd="t" o:hr="t"/>
        </w:pict>
      </w:r>
    </w:p>
    <w:bookmarkEnd w:id="11"/>
    <w:bookmarkStart w:id="12" w:name="引言从教会沟通到创造沟通机会"/>
    <w:p>
      <w:pPr>
        <w:pStyle w:val="Heading2"/>
      </w:pPr>
      <w:r>
        <w:rPr>
          <w:rFonts w:hint="eastAsia"/>
        </w:rPr>
        <w:t xml:space="preserve">引言：从”教会沟通”到”创造沟通机会”</w:t>
      </w:r>
    </w:p>
    <w:p>
      <w:pPr>
        <w:pStyle w:val="FirstParagraph"/>
      </w:pPr>
      <w:r>
        <w:rPr>
          <w:i/>
          <w:iCs/>
        </w:rPr>
        <w:t xml:space="preserve">Every child has something to communicate. Our responsibility is to help them find a way to be </w:t>
      </w:r>
      <w:r>
        <w:rPr>
          <w:rFonts w:hint="eastAsia"/>
          <w:i/>
          <w:iCs/>
        </w:rPr>
        <w:t xml:space="preserve">heard.（每个孩子都有想要表达的东西；我们的责任，是帮助他们找到被听见的方式。）</w:t>
      </w:r>
    </w:p>
    <w:p>
      <w:pPr>
        <w:pStyle w:val="BodyText"/>
      </w:pPr>
      <w:r>
        <w:rPr>
          <w:rFonts w:hint="eastAsia"/>
        </w:rPr>
        <w:t xml:space="preserve">这句表述凝练了本文的立场前提：沟通不是儿童需要先具备说话能力才能获得的资格，而是其应当被保障的权利；干预者的责任在于提供通道，而非等待通道自行出现。</w:t>
      </w:r>
    </w:p>
    <w:p>
      <w:pPr>
        <w:pStyle w:val="BodyText"/>
      </w:pPr>
      <w:r>
        <w:rPr>
          <w:rFonts w:hint="eastAsia"/>
        </w:rPr>
        <w:t xml:space="preserve">社会沟通困难是孤独症谱系障碍儿童教育与干预的核心领域之一。对相当一部分儿童而言，困难的症结并不在于”不知道某个词怎么说”，而在于缺少在真实情境中主动发起沟通的机会。一个儿童或许能够在治疗室中正确回答”这是什么”，也能在被要求时说出”我要红色”；但当他真正进入课堂、操场或同伴游戏情境时，却可能不知道何时应当主动请求帮助、如何加入同伴正在进行的活动、如何表达拒绝，或如何与他人分享自己感兴趣的事物。</w:t>
      </w:r>
    </w:p>
    <w:p>
      <w:pPr>
        <w:pStyle w:val="BodyText"/>
      </w:pPr>
      <w:r>
        <w:rPr>
          <w:rFonts w:hint="eastAsia"/>
        </w:rPr>
        <w:t xml:space="preserve">由此引出一个值得重新思考的问题：如果儿童只有在成人提出问题之后才作出回应，这种能力是否等同于功能性沟通？这一问题推动了早期干预从高度结构化的技能训练，逐步转向更加自然化、发展性且强调儿童主动参与的干预模式。自然情境发展行为干预（NDBIs）正是在这一转向中形成的代表性取向，其共同特征是将发展目标嵌入儿童自发发起的活动与日常互动之中，并由成人对儿童的行为作出即时、自然的回应（Schreibman</w:t>
      </w:r>
      <w:r>
        <w:t xml:space="preserve"> et al., </w:t>
      </w:r>
      <w:r>
        <w:rPr>
          <w:rFonts w:hint="eastAsia"/>
        </w:rPr>
        <w:t xml:space="preserve">2015）。</w:t>
      </w:r>
    </w:p>
    <w:p>
      <w:pPr>
        <w:pStyle w:val="BodyText"/>
      </w:pPr>
      <w:r>
        <w:rPr>
          <w:rFonts w:hint="eastAsia"/>
        </w:rPr>
        <w:t xml:space="preserve">在这一取向中，JASPER（Joint</w:t>
      </w:r>
      <w:r>
        <w:t xml:space="preserve"> Attention, Symbolic Play, Engagement and </w:t>
      </w:r>
      <w:r>
        <w:rPr>
          <w:rFonts w:hint="eastAsia"/>
        </w:rPr>
        <w:t xml:space="preserve">Regulation，即共同注意、象征性游戏、参与与调节）具有代表性。Goods</w:t>
      </w:r>
      <w:r>
        <w:t xml:space="preserve"> </w:t>
      </w:r>
      <w:r>
        <w:rPr>
          <w:rFonts w:hint="eastAsia"/>
        </w:rPr>
        <w:t xml:space="preserve">等人（2013）针对最低限度口语学龄前孤独症儿童开展的随机对照先导研究显示，接受</w:t>
      </w:r>
      <w:r>
        <w:t xml:space="preserve"> JASPER </w:t>
      </w:r>
      <w:r>
        <w:rPr>
          <w:rFonts w:hint="eastAsia"/>
        </w:rPr>
        <w:t xml:space="preserve">干预的儿童表现出更丰富的游戏形式，并在课堂情境中观察到主动手势使用的增加与非参与状态的减少。这类结果提示，干预的关键或许不在于”如何让儿童学会更多语言”，而在于”如何设计一个儿童愿意进入、愿意停留，且必须通过与他人沟通才能完成活动的环境”。沙盒游戏由此进入本研究的视野。</w:t>
      </w:r>
    </w:p>
    <w:bookmarkEnd w:id="12"/>
    <w:bookmarkStart w:id="17" w:name="概念辨析三类沙盒范式的理论边界"/>
    <w:p>
      <w:pPr>
        <w:pStyle w:val="Heading2"/>
      </w:pPr>
      <w:r>
        <w:rPr>
          <w:rFonts w:hint="eastAsia"/>
        </w:rPr>
        <w:t xml:space="preserve">概念辨析：三类”沙盒”范式的理论边界</w:t>
      </w:r>
    </w:p>
    <w:p>
      <w:pPr>
        <w:pStyle w:val="FirstParagraph"/>
      </w:pPr>
      <w:r>
        <w:rPr>
          <w:rFonts w:hint="eastAsia"/>
        </w:rPr>
        <w:t xml:space="preserve">在既有中文与英文文献中，</w:t>
      </w:r>
      <w:r>
        <w:rPr>
          <w:rFonts w:hint="eastAsia"/>
        </w:rPr>
        <w:t xml:space="preserve">“沙盒”</w:t>
      </w:r>
      <w:r>
        <w:rPr>
          <w:rFonts w:hint="eastAsia"/>
        </w:rPr>
        <w:t xml:space="preserve">（sandbox）一词至少指向三种不同的实践形态：实体沙盘与沙盘游戏治疗、数字沙盒游戏，以及虚拟现实社会沙盒。三者共享”开放性、可探索性、儿童自主性较高”等表层特征，甚至在名称上都与</w:t>
      </w:r>
      <w:r>
        <w:t xml:space="preserve"> sandbox </w:t>
      </w:r>
      <w:r>
        <w:rPr>
          <w:rFonts w:hint="eastAsia"/>
        </w:rPr>
        <w:t xml:space="preserve">相关，但其理论源头、假定的改变机制、目标变量与证据基础并不相同。若不加区分地将三者置于同一证据层级，极易产生跨范式的推论谬误。</w:t>
      </w:r>
    </w:p>
    <w:bookmarkStart w:id="13" w:name="实体沙盘与沙盘游戏治疗心理表达与象征性游戏范式"/>
    <w:p>
      <w:pPr>
        <w:pStyle w:val="Heading3"/>
      </w:pPr>
      <w:r>
        <w:rPr>
          <w:rFonts w:hint="eastAsia"/>
        </w:rPr>
        <w:t xml:space="preserve">实体沙盘与沙盘游戏治疗：心理表达与象征性游戏范式</w:t>
      </w:r>
    </w:p>
    <w:p>
      <w:pPr>
        <w:pStyle w:val="FirstParagraph"/>
      </w:pPr>
      <w:r>
        <w:rPr>
          <w:rFonts w:hint="eastAsia"/>
        </w:rPr>
        <w:t xml:space="preserve">沙盘游戏治疗（sandplay</w:t>
      </w:r>
      <w:r>
        <w:t xml:space="preserve"> </w:t>
      </w:r>
      <w:r>
        <w:rPr>
          <w:rFonts w:hint="eastAsia"/>
        </w:rPr>
        <w:t xml:space="preserve">therapy）源自</w:t>
      </w:r>
      <w:r>
        <w:t xml:space="preserve"> Lowenfeld </w:t>
      </w:r>
      <w:r>
        <w:rPr>
          <w:rFonts w:hint="eastAsia"/>
        </w:rPr>
        <w:t xml:space="preserve">的”世界技法”（World</w:t>
      </w:r>
      <w:r>
        <w:t xml:space="preserve"> </w:t>
      </w:r>
      <w:r>
        <w:rPr>
          <w:rFonts w:hint="eastAsia"/>
        </w:rPr>
        <w:t xml:space="preserve">Technique），后经</w:t>
      </w:r>
      <w:r>
        <w:t xml:space="preserve"> Kalff </w:t>
      </w:r>
      <w:r>
        <w:rPr>
          <w:rFonts w:hint="eastAsia"/>
        </w:rPr>
        <w:t xml:space="preserve">结合分析心理学传统发展而成。其基本形态是：在盛有细沙的特定容器中，来访者从摆件架上自由选取微缩模型，在沙盘中创造场景。治疗师的角色偏向陪伴与见证，强调为来访者提供”自由与受保护的空间”，使内在意象得以外化并获得象征性表达。</w:t>
      </w:r>
    </w:p>
    <w:p>
      <w:pPr>
        <w:pStyle w:val="BodyText"/>
      </w:pPr>
      <w:r>
        <w:rPr>
          <w:rFonts w:hint="eastAsia"/>
        </w:rPr>
        <w:t xml:space="preserve">该范式的核心改变机制被假定为非言语的象征性表达、情绪宣泄与自性化过程，其主要目标变量通常是情绪调节、内在冲突的呈现与整合、亲子关系质量等；沟通行为的改善在其中更多被视为治疗的副产品，而非直接干预目标。在证据形态上，该领域长期以个案研究、质性分析与小样本前后测设计为主，随机对照证据相对有限。</w:t>
      </w:r>
    </w:p>
    <w:p>
      <w:pPr>
        <w:pStyle w:val="BodyText"/>
      </w:pPr>
      <w:r>
        <w:rPr>
          <w:rFonts w:hint="eastAsia"/>
        </w:rPr>
        <w:t xml:space="preserve">有鉴于此，本文明确声明：沙盘游戏治疗的疗效研究不被用作数字沙盒游戏有效性的证据来源。二者即便共享”沙”与”自由摆放”的外观，其理论假定与干预活性成分仍存在实质差异。</w:t>
      </w:r>
    </w:p>
    <w:bookmarkEnd w:id="13"/>
    <w:bookmarkStart w:id="14" w:name="数字沙盒游戏建构与社会协作范式"/>
    <w:p>
      <w:pPr>
        <w:pStyle w:val="Heading3"/>
      </w:pPr>
      <w:r>
        <w:rPr>
          <w:rFonts w:hint="eastAsia"/>
        </w:rPr>
        <w:t xml:space="preserve">数字沙盒游戏：建构与社会协作范式</w:t>
      </w:r>
    </w:p>
    <w:p>
      <w:pPr>
        <w:pStyle w:val="FirstParagraph"/>
      </w:pPr>
      <w:r>
        <w:rPr>
          <w:rFonts w:hint="eastAsia"/>
        </w:rPr>
        <w:t xml:space="preserve">数字沙盒游戏以</w:t>
      </w:r>
      <w:r>
        <w:t xml:space="preserve"> Minecraft </w:t>
      </w:r>
      <w:r>
        <w:rPr>
          <w:rFonts w:hint="eastAsia"/>
        </w:rPr>
        <w:t xml:space="preserve">为典型代表。与传统线性电子游戏不同，此类游戏并不要求玩家沿固定路径完成任务，而是提供开放世界，允许玩家采集资源、建造对象、设定自身目标，并通过角色与虚拟空间与其他玩家交流。对</w:t>
      </w:r>
      <w:r>
        <w:t xml:space="preserve"> ASD </w:t>
      </w:r>
      <w:r>
        <w:rPr>
          <w:rFonts w:hint="eastAsia"/>
        </w:rPr>
        <w:t xml:space="preserve">儿童沟通干预而言，其关键价值在于：共同的游戏目标会自然产生资源互依与角色互依，从而使请求、求助、轮流、协商、分享与共同注意等沟通行为获得真实的功能意义。</w:t>
      </w:r>
    </w:p>
    <w:p>
      <w:pPr>
        <w:pStyle w:val="BodyText"/>
      </w:pPr>
      <w:r>
        <w:rPr>
          <w:rFonts w:hint="eastAsia"/>
        </w:rPr>
        <w:t xml:space="preserve">其假定的改变机制是”目标—障碍—沟通—回应”的行为链：儿童想要完成建造，却缺少材料或需要协助，因而产生沟通需求，进而使用</w:t>
      </w:r>
      <w:r>
        <w:t xml:space="preserve"> AAC </w:t>
      </w:r>
      <w:r>
        <w:rPr>
          <w:rFonts w:hint="eastAsia"/>
        </w:rPr>
        <w:t xml:space="preserve">或口语表达，最终获得回应并完成目标。该范式的目标变量通常是社会沟通行为、协作能力与共同注意，其证据形态目前仍以可行性研究、准实验设计与小样本试点为主，随机对照试验较为稀缺，且最大的效度威胁是游戏内表现向现实情境的泛化。</w:t>
      </w:r>
    </w:p>
    <w:bookmarkEnd w:id="14"/>
    <w:bookmarkStart w:id="15" w:name="虚拟现实社会沙盒模拟社会情境范式"/>
    <w:p>
      <w:pPr>
        <w:pStyle w:val="Heading3"/>
      </w:pPr>
      <w:r>
        <w:rPr>
          <w:rFonts w:hint="eastAsia"/>
        </w:rPr>
        <w:t xml:space="preserve">虚拟现实社会沙盒：模拟社会情境范式</w:t>
      </w:r>
    </w:p>
    <w:p>
      <w:pPr>
        <w:pStyle w:val="FirstParagraph"/>
      </w:pPr>
      <w:r>
        <w:rPr>
          <w:rFonts w:hint="eastAsia"/>
        </w:rPr>
        <w:t xml:space="preserve">虚拟现实（VR）社会沙盒是近年出现的技术方向，其形态为基于头戴设备或网络浏览器的沉浸式社会学习空间。此类环境的突出特征是社会线索的可参数化：研究者可以控制虚拟同伴的数量、面部表情强度、情境复杂度与反馈时机，从而为社会技能演练提供可控、可重复且允许”安全失败”的练习场。</w:t>
      </w:r>
    </w:p>
    <w:p>
      <w:pPr>
        <w:pStyle w:val="BodyText"/>
      </w:pPr>
      <w:r>
        <w:rPr>
          <w:rFonts w:hint="eastAsia"/>
        </w:rPr>
        <w:t xml:space="preserve">该范式的目标变量集中在社会技能演练、情绪识别与对话技能等方面，其改变机制被假定为情境模拟与渐进式社会负荷暴露。在证据形态上，目前以设计研究、可用性与可行性研究为主，主要效度威胁包括生态效度不足、设备耐受性问题（部分</w:t>
      </w:r>
      <w:r>
        <w:t xml:space="preserve"> ASD </w:t>
      </w:r>
      <w:r>
        <w:rPr>
          <w:rFonts w:hint="eastAsia"/>
        </w:rPr>
        <w:t xml:space="preserve">儿童对头戴式设备的触觉负荷敏感）以及实施成本较高。</w:t>
      </w:r>
    </w:p>
    <w:bookmarkEnd w:id="15"/>
    <w:bookmarkStart w:id="16" w:name="区分的必要性证据层级与推论谬误"/>
    <w:p>
      <w:pPr>
        <w:pStyle w:val="Heading3"/>
      </w:pPr>
      <w:r>
        <w:rPr>
          <w:rFonts w:hint="eastAsia"/>
        </w:rPr>
        <w:t xml:space="preserve">区分的必要性：证据层级与推论谬误</w:t>
      </w:r>
    </w:p>
    <w:p>
      <w:pPr>
        <w:pStyle w:val="FirstParagraph"/>
      </w:pPr>
      <w:r>
        <w:rPr>
          <w:rFonts w:hint="eastAsia"/>
        </w:rPr>
        <w:t xml:space="preserve">将三类沙盒区分开来，并非术语上的繁琐，而是证据评价的前提。本文提出，三类范式至少在四个维度上存在系统性差异：理论源头、假定的活性成分、目标变量与主导证据形态。忽视这些差异，容易产生两类典型谬误：</w:t>
      </w:r>
    </w:p>
    <w:p>
      <w:pPr>
        <w:pStyle w:val="BodyText"/>
      </w:pPr>
      <w:r>
        <w:rPr>
          <w:rFonts w:hint="eastAsia"/>
        </w:rPr>
        <w:t xml:space="preserve">其一是名称等同谬误——因为三者都被称为</w:t>
      </w:r>
      <w:r>
        <w:t xml:space="preserve"> </w:t>
      </w:r>
      <w:r>
        <w:rPr>
          <w:rFonts w:hint="eastAsia"/>
        </w:rPr>
        <w:t xml:space="preserve">sandbox，便默认它们共享同一套机制与证据；其二是载体—活性成分混淆——把”儿童喜欢这个媒介”误当作”干预的活性成分已经生效”。就本研究的关切而言，最需要避免的具体推论是：由”沙盘游戏治疗存在研究”直接推出”Minecraft</w:t>
      </w:r>
      <w:r>
        <w:t xml:space="preserve"> </w:t>
      </w:r>
      <w:r>
        <w:rPr>
          <w:rFonts w:hint="eastAsia"/>
        </w:rPr>
        <w:t xml:space="preserve">能够改善</w:t>
      </w:r>
      <w:r>
        <w:t xml:space="preserve"> ASD </w:t>
      </w:r>
      <w:r>
        <w:rPr>
          <w:rFonts w:hint="eastAsia"/>
        </w:rPr>
        <w:t xml:space="preserve">儿童的沟通”。这一推论在逻辑上不成立，在实证上亦无支持。</w:t>
      </w:r>
    </w:p>
    <w:p>
      <w:pPr>
        <w:pStyle w:val="BodyText"/>
      </w:pPr>
      <w:r>
        <w:rPr>
          <w:rFonts w:hint="eastAsia"/>
        </w:rPr>
        <w:t xml:space="preserve">因此，本文采用”范式内评价”原则：每一项证据只在它所归属的范式内部被用于支撑相应强度的结论，不跨范式外推。表</w:t>
      </w:r>
      <w:r>
        <w:t xml:space="preserve"> 1 </w:t>
      </w:r>
      <w:r>
        <w:rPr>
          <w:rFonts w:hint="eastAsia"/>
        </w:rPr>
        <w:t xml:space="preserve">给出三类范式的系统比较。</w:t>
      </w:r>
    </w:p>
    <w:p>
      <w:pPr>
        <w:pStyle w:val="BodyText"/>
      </w:pPr>
      <w:r>
        <w:rPr>
          <w:rFonts w:hint="eastAsia"/>
          <w:b/>
          <w:bCs/>
        </w:rPr>
        <w:t xml:space="preserve">表</w:t>
      </w:r>
      <w:r>
        <w:rPr>
          <w:b/>
          <w:bCs/>
        </w:rPr>
        <w:t xml:space="preserve"> 1</w:t>
      </w:r>
    </w:p>
    <w:p>
      <w:pPr>
        <w:pStyle w:val="BodyText"/>
      </w:pPr>
      <w:r>
        <w:rPr>
          <w:rFonts w:hint="eastAsia"/>
          <w:i/>
          <w:iCs/>
        </w:rPr>
        <w:t xml:space="preserve">三类沙盒范式的理论源头、改变机制与证据形态比较</w:t>
      </w:r>
    </w:p>
    <w:tbl>
      <w:tblPr>
        <w:tblStyle w:val="Table"/>
        <w:tblW w:type="pct" w:w="5000"/>
        <w:tblLayout w:type="fixed"/>
        <w:tblLook w:firstRow="1" w:lastRow="0" w:firstColumn="0" w:lastColumn="0" w:noHBand="0" w:noVBand="0" w:val="0020"/>
      </w:tblPr>
      <w:tblGrid>
        <w:gridCol w:w="1033"/>
        <w:gridCol w:w="2410"/>
        <w:gridCol w:w="2754"/>
        <w:gridCol w:w="1721"/>
      </w:tblGrid>
      <w:tr>
        <w:trPr>
          <w:tblHeader w:val="on"/>
        </w:trPr>
        <w:tc>
          <w:tcPr/>
          <w:p>
            <w:pPr>
              <w:pStyle w:val="Compact"/>
            </w:pPr>
            <w:r>
              <w:rPr>
                <w:rFonts w:hint="eastAsia"/>
              </w:rPr>
              <w:t xml:space="preserve">比较维度</w:t>
            </w:r>
          </w:p>
        </w:tc>
        <w:tc>
          <w:tcPr/>
          <w:p>
            <w:pPr>
              <w:pStyle w:val="Compact"/>
            </w:pPr>
            <w:r>
              <w:rPr>
                <w:rFonts w:hint="eastAsia"/>
              </w:rPr>
              <w:t xml:space="preserve">实体沙盘／沙盘游戏治疗</w:t>
            </w:r>
          </w:p>
        </w:tc>
        <w:tc>
          <w:tcPr/>
          <w:p>
            <w:pPr>
              <w:pStyle w:val="Compact"/>
            </w:pPr>
            <w:r>
              <w:rPr>
                <w:rFonts w:hint="eastAsia"/>
              </w:rPr>
              <w:t xml:space="preserve">数字沙盒游戏（Minecraft）</w:t>
            </w:r>
          </w:p>
        </w:tc>
        <w:tc>
          <w:tcPr/>
          <w:p>
            <w:pPr>
              <w:pStyle w:val="Compact"/>
            </w:pPr>
            <w:r>
              <w:rPr>
                <w:rFonts w:hint="eastAsia"/>
              </w:rPr>
              <w:t xml:space="preserve">虚拟现实社会沙盒</w:t>
            </w:r>
          </w:p>
        </w:tc>
      </w:tr>
      <w:tr>
        <w:tc>
          <w:tcPr/>
          <w:p>
            <w:pPr>
              <w:pStyle w:val="Compact"/>
            </w:pPr>
            <w:r>
              <w:rPr>
                <w:rFonts w:hint="eastAsia"/>
              </w:rPr>
              <w:t xml:space="preserve">理论源头</w:t>
            </w:r>
          </w:p>
        </w:tc>
        <w:tc>
          <w:tcPr/>
          <w:p>
            <w:pPr>
              <w:pStyle w:val="Compact"/>
            </w:pPr>
            <w:r>
              <w:rPr>
                <w:rFonts w:hint="eastAsia"/>
              </w:rPr>
              <w:t xml:space="preserve">分析心理学、世界技法</w:t>
            </w:r>
          </w:p>
        </w:tc>
        <w:tc>
          <w:tcPr/>
          <w:p>
            <w:pPr>
              <w:pStyle w:val="Compact"/>
            </w:pPr>
            <w:r>
              <w:rPr>
                <w:rFonts w:hint="eastAsia"/>
              </w:rPr>
              <w:t xml:space="preserve">开放世界游戏、建构主义与协作学习</w:t>
            </w:r>
          </w:p>
        </w:tc>
        <w:tc>
          <w:tcPr/>
          <w:p>
            <w:pPr>
              <w:pStyle w:val="Compact"/>
            </w:pPr>
            <w:r>
              <w:rPr>
                <w:rFonts w:hint="eastAsia"/>
              </w:rPr>
              <w:t xml:space="preserve">情境模拟、社会学习理论</w:t>
            </w:r>
          </w:p>
        </w:tc>
      </w:tr>
      <w:tr>
        <w:tc>
          <w:tcPr/>
          <w:p>
            <w:pPr>
              <w:pStyle w:val="Compact"/>
            </w:pPr>
            <w:r>
              <w:rPr>
                <w:rFonts w:hint="eastAsia"/>
              </w:rPr>
              <w:t xml:space="preserve">假定活性成分</w:t>
            </w:r>
          </w:p>
        </w:tc>
        <w:tc>
          <w:tcPr/>
          <w:p>
            <w:pPr>
              <w:pStyle w:val="Compact"/>
            </w:pPr>
            <w:r>
              <w:rPr>
                <w:rFonts w:hint="eastAsia"/>
              </w:rPr>
              <w:t xml:space="preserve">象征性表达、情绪宣泄、治疗关系</w:t>
            </w:r>
          </w:p>
        </w:tc>
        <w:tc>
          <w:tcPr/>
          <w:p>
            <w:pPr>
              <w:pStyle w:val="Compact"/>
            </w:pPr>
            <w:r>
              <w:rPr>
                <w:rFonts w:hint="eastAsia"/>
              </w:rPr>
              <w:t xml:space="preserve">目标驱动的沟通需求、同伴协作</w:t>
            </w:r>
          </w:p>
        </w:tc>
        <w:tc>
          <w:tcPr/>
          <w:p>
            <w:pPr>
              <w:pStyle w:val="Compact"/>
            </w:pPr>
            <w:r>
              <w:rPr>
                <w:rFonts w:hint="eastAsia"/>
              </w:rPr>
              <w:t xml:space="preserve">可控社会线索、重复演练、安全失败</w:t>
            </w:r>
          </w:p>
        </w:tc>
      </w:tr>
      <w:tr>
        <w:tc>
          <w:tcPr/>
          <w:p>
            <w:pPr>
              <w:pStyle w:val="Compact"/>
            </w:pPr>
            <w:r>
              <w:rPr>
                <w:rFonts w:hint="eastAsia"/>
              </w:rPr>
              <w:t xml:space="preserve">主要目标变量</w:t>
            </w:r>
          </w:p>
        </w:tc>
        <w:tc>
          <w:tcPr/>
          <w:p>
            <w:pPr>
              <w:pStyle w:val="Compact"/>
            </w:pPr>
            <w:r>
              <w:rPr>
                <w:rFonts w:hint="eastAsia"/>
              </w:rPr>
              <w:t xml:space="preserve">情绪调节、意象整合、亲子关系</w:t>
            </w:r>
          </w:p>
        </w:tc>
        <w:tc>
          <w:tcPr/>
          <w:p>
            <w:pPr>
              <w:pStyle w:val="Compact"/>
            </w:pPr>
            <w:r>
              <w:rPr>
                <w:rFonts w:hint="eastAsia"/>
              </w:rPr>
              <w:t xml:space="preserve">请求、求助、轮流、协商、共同注意</w:t>
            </w:r>
          </w:p>
        </w:tc>
        <w:tc>
          <w:tcPr/>
          <w:p>
            <w:pPr>
              <w:pStyle w:val="Compact"/>
            </w:pPr>
            <w:r>
              <w:rPr>
                <w:rFonts w:hint="eastAsia"/>
              </w:rPr>
              <w:t xml:space="preserve">社会技能演练、情绪识别、对话技能</w:t>
            </w:r>
          </w:p>
        </w:tc>
      </w:tr>
      <w:tr>
        <w:tc>
          <w:tcPr/>
          <w:p>
            <w:pPr>
              <w:pStyle w:val="Compact"/>
            </w:pPr>
            <w:r>
              <w:rPr>
                <w:rFonts w:hint="eastAsia"/>
              </w:rPr>
              <w:t xml:space="preserve">成人／治疗师角色</w:t>
            </w:r>
          </w:p>
        </w:tc>
        <w:tc>
          <w:tcPr/>
          <w:p>
            <w:pPr>
              <w:pStyle w:val="Compact"/>
            </w:pPr>
            <w:r>
              <w:rPr>
                <w:rFonts w:hint="eastAsia"/>
              </w:rPr>
              <w:t xml:space="preserve">陪伴者与见证者，低指导性</w:t>
            </w:r>
          </w:p>
        </w:tc>
        <w:tc>
          <w:tcPr/>
          <w:p>
            <w:pPr>
              <w:pStyle w:val="Compact"/>
            </w:pPr>
            <w:r>
              <w:rPr>
                <w:rFonts w:hint="eastAsia"/>
              </w:rPr>
              <w:t xml:space="preserve">游戏伙伴与语言示范者，中等结构</w:t>
            </w:r>
          </w:p>
        </w:tc>
        <w:tc>
          <w:tcPr/>
          <w:p>
            <w:pPr>
              <w:pStyle w:val="Compact"/>
            </w:pPr>
            <w:r>
              <w:rPr>
                <w:rFonts w:hint="eastAsia"/>
              </w:rPr>
              <w:t xml:space="preserve">任务设计者与反馈提供者</w:t>
            </w:r>
          </w:p>
        </w:tc>
      </w:tr>
      <w:tr>
        <w:tc>
          <w:tcPr/>
          <w:p>
            <w:pPr>
              <w:pStyle w:val="Compact"/>
            </w:pPr>
            <w:r>
              <w:rPr>
                <w:rFonts w:hint="eastAsia"/>
              </w:rPr>
              <w:t xml:space="preserve">主导证据形态</w:t>
            </w:r>
          </w:p>
        </w:tc>
        <w:tc>
          <w:tcPr/>
          <w:p>
            <w:pPr>
              <w:pStyle w:val="Compact"/>
            </w:pPr>
            <w:r>
              <w:rPr>
                <w:rFonts w:hint="eastAsia"/>
              </w:rPr>
              <w:t xml:space="preserve">个案研究、质性分析、小样本前后测</w:t>
            </w:r>
          </w:p>
        </w:tc>
        <w:tc>
          <w:tcPr/>
          <w:p>
            <w:pPr>
              <w:pStyle w:val="Compact"/>
            </w:pPr>
            <w:r>
              <w:rPr>
                <w:rFonts w:hint="eastAsia"/>
              </w:rPr>
              <w:t xml:space="preserve">可行性研究、准实验、小样本试点</w:t>
            </w:r>
          </w:p>
        </w:tc>
        <w:tc>
          <w:tcPr/>
          <w:p>
            <w:pPr>
              <w:pStyle w:val="Compact"/>
            </w:pPr>
            <w:r>
              <w:rPr>
                <w:rFonts w:hint="eastAsia"/>
              </w:rPr>
              <w:t xml:space="preserve">设计研究、可用性与可行性研究</w:t>
            </w:r>
          </w:p>
        </w:tc>
      </w:tr>
      <w:tr>
        <w:tc>
          <w:tcPr/>
          <w:p>
            <w:pPr>
              <w:pStyle w:val="Compact"/>
            </w:pPr>
            <w:r>
              <w:rPr>
                <w:rFonts w:hint="eastAsia"/>
              </w:rPr>
              <w:t xml:space="preserve">主要效度威胁</w:t>
            </w:r>
          </w:p>
        </w:tc>
        <w:tc>
          <w:tcPr/>
          <w:p>
            <w:pPr>
              <w:pStyle w:val="Compact"/>
            </w:pPr>
            <w:r>
              <w:rPr>
                <w:rFonts w:hint="eastAsia"/>
              </w:rPr>
              <w:t xml:space="preserve">主观解释、缺乏对照组</w:t>
            </w:r>
          </w:p>
        </w:tc>
        <w:tc>
          <w:tcPr/>
          <w:p>
            <w:pPr>
              <w:pStyle w:val="Compact"/>
            </w:pPr>
            <w:r>
              <w:rPr>
                <w:rFonts w:hint="eastAsia"/>
              </w:rPr>
              <w:t xml:space="preserve">游戏内表现不等于现实泛化</w:t>
            </w:r>
          </w:p>
        </w:tc>
        <w:tc>
          <w:tcPr/>
          <w:p>
            <w:pPr>
              <w:pStyle w:val="Compact"/>
            </w:pPr>
            <w:r>
              <w:rPr>
                <w:rFonts w:hint="eastAsia"/>
              </w:rPr>
              <w:t xml:space="preserve">生态效度、设备耐受性、成本</w:t>
            </w:r>
          </w:p>
        </w:tc>
      </w:tr>
      <w:tr>
        <w:tc>
          <w:tcPr/>
          <w:p>
            <w:pPr>
              <w:pStyle w:val="Compact"/>
            </w:pPr>
            <w:r>
              <w:rPr>
                <w:rFonts w:hint="eastAsia"/>
              </w:rPr>
              <w:t xml:space="preserve">可支撑的推论</w:t>
            </w:r>
          </w:p>
        </w:tc>
        <w:tc>
          <w:tcPr/>
          <w:p>
            <w:pPr>
              <w:pStyle w:val="Compact"/>
            </w:pPr>
            <w:r>
              <w:rPr>
                <w:rFonts w:hint="eastAsia"/>
              </w:rPr>
              <w:t xml:space="preserve">心理表达与关系层面的探索性结论</w:t>
            </w:r>
          </w:p>
        </w:tc>
        <w:tc>
          <w:tcPr/>
          <w:p>
            <w:pPr>
              <w:pStyle w:val="Compact"/>
            </w:pPr>
            <w:r>
              <w:rPr>
                <w:rFonts w:hint="eastAsia"/>
              </w:rPr>
              <w:t xml:space="preserve">创造社会协作机会的潜力性结论</w:t>
            </w:r>
          </w:p>
        </w:tc>
        <w:tc>
          <w:tcPr/>
          <w:p>
            <w:pPr>
              <w:pStyle w:val="Compact"/>
            </w:pPr>
            <w:r>
              <w:rPr>
                <w:rFonts w:hint="eastAsia"/>
              </w:rPr>
              <w:t xml:space="preserve">技术可行性与设计原则层面的结论</w:t>
            </w:r>
          </w:p>
        </w:tc>
      </w:tr>
    </w:tbl>
    <w:bookmarkEnd w:id="16"/>
    <w:bookmarkEnd w:id="17"/>
    <w:bookmarkStart w:id="23" w:name="理论框架五大核心理念"/>
    <w:p>
      <w:pPr>
        <w:pStyle w:val="Heading2"/>
      </w:pPr>
      <w:r>
        <w:rPr>
          <w:rFonts w:hint="eastAsia"/>
        </w:rPr>
        <w:t xml:space="preserve">理论框架：五大核心理念</w:t>
      </w:r>
    </w:p>
    <w:p>
      <w:pPr>
        <w:pStyle w:val="FirstParagraph"/>
      </w:pPr>
      <w:r>
        <w:rPr>
          <w:rFonts w:hint="eastAsia"/>
        </w:rPr>
        <w:t xml:space="preserve">在澄清范式边界之后，本文以五项核心理念作为分析</w:t>
      </w:r>
      <w:r>
        <w:t xml:space="preserve"> ASD </w:t>
      </w:r>
      <w:r>
        <w:rPr>
          <w:rFonts w:hint="eastAsia"/>
        </w:rPr>
        <w:t xml:space="preserve">儿童沟通干预的理论框架。这五项理念并非某一种特定疗法的操作手册，而是对多种循证取向（包括</w:t>
      </w:r>
      <w:r>
        <w:t xml:space="preserve"> NDBIs、AAC </w:t>
      </w:r>
      <w:r>
        <w:rPr>
          <w:rFonts w:hint="eastAsia"/>
        </w:rPr>
        <w:t xml:space="preserve">干预与家长中介干预）所共享原则的提炼。</w:t>
      </w:r>
    </w:p>
    <w:bookmarkStart w:id="18" w:name="理念一沟通是儿童的权利"/>
    <w:p>
      <w:pPr>
        <w:pStyle w:val="Heading3"/>
      </w:pPr>
      <w:r>
        <w:rPr>
          <w:rFonts w:hint="eastAsia"/>
        </w:rPr>
        <w:t xml:space="preserve">理念一：沟通是儿童的权利</w:t>
      </w:r>
    </w:p>
    <w:p>
      <w:pPr>
        <w:pStyle w:val="FirstParagraph"/>
      </w:pPr>
      <w:r>
        <w:rPr>
          <w:rFonts w:hint="eastAsia"/>
        </w:rPr>
        <w:t xml:space="preserve">将沟通视为权利，意味着教育者不应把”能够说话”作为儿童获得沟通机会的前提。沟通可以通过手势、眼神、指向、图片、AAC</w:t>
      </w:r>
      <w:r>
        <w:t xml:space="preserve"> </w:t>
      </w:r>
      <w:r>
        <w:rPr>
          <w:rFonts w:hint="eastAsia"/>
        </w:rPr>
        <w:t xml:space="preserve">设备、身体动作、物体操作、电子设备中的符号以及口语等多种形式完成。对低口语或无口语儿童而言，这一立场具有直接实践含义：成人首先需要识别儿童已经存在的沟通行为，再为其提供更有效的表达方式，而不是等待口语出现之后才开始与之互动。</w:t>
      </w:r>
    </w:p>
    <w:p>
      <w:pPr>
        <w:pStyle w:val="BodyText"/>
      </w:pPr>
      <w:r>
        <w:rPr>
          <w:rFonts w:hint="eastAsia"/>
        </w:rPr>
        <w:t xml:space="preserve">举例而言，若儿童没有主动说话，而是拿起一块红色积木放到成人面前，传统教学可能将其解释为”他没有说出’红色积木’</w:t>
      </w:r>
      <w:r>
        <w:rPr>
          <w:rFonts w:hint="eastAsia"/>
        </w:rPr>
        <w:t xml:space="preserve">“；但从功能性沟通的视角看，这一行为已经可能表达”</w:t>
      </w:r>
      <w:r>
        <w:rPr>
          <w:rFonts w:hint="eastAsia"/>
        </w:rPr>
        <w:t xml:space="preserve">我要这个”。由此，干预的重心从”要求儿童沟通”转向”创造儿童能够沟通的环境”。</w:t>
      </w:r>
    </w:p>
    <w:bookmarkEnd w:id="18"/>
    <w:bookmarkStart w:id="19" w:name="理念二aac-为儿童提供表达渠道"/>
    <w:p>
      <w:pPr>
        <w:pStyle w:val="Heading3"/>
      </w:pPr>
      <w:r>
        <w:rPr>
          <w:rFonts w:hint="eastAsia"/>
        </w:rPr>
        <w:t xml:space="preserve">理念二：AAC</w:t>
      </w:r>
      <w:r>
        <w:t xml:space="preserve"> </w:t>
      </w:r>
      <w:r>
        <w:rPr>
          <w:rFonts w:hint="eastAsia"/>
        </w:rPr>
        <w:t xml:space="preserve">为儿童提供表达渠道</w:t>
      </w:r>
    </w:p>
    <w:p>
      <w:pPr>
        <w:pStyle w:val="FirstParagraph"/>
      </w:pPr>
      <w:r>
        <w:t xml:space="preserve">AAC </w:t>
      </w:r>
      <w:r>
        <w:rPr>
          <w:rFonts w:hint="eastAsia"/>
        </w:rPr>
        <w:t xml:space="preserve">是沙盒沟通干预中的关键组成。在数字或实体沙盒活动中，可为儿童配置随时可用的表达选项，例如请求（I</w:t>
      </w:r>
      <w:r>
        <w:t xml:space="preserve"> </w:t>
      </w:r>
      <w:r>
        <w:rPr>
          <w:rFonts w:hint="eastAsia"/>
        </w:rPr>
        <w:t xml:space="preserve">want…）、求助（Help）、拒绝（No）、轮流（My</w:t>
      </w:r>
      <w:r>
        <w:t xml:space="preserve"> </w:t>
      </w:r>
      <w:r>
        <w:rPr>
          <w:rFonts w:hint="eastAsia"/>
        </w:rPr>
        <w:t xml:space="preserve">turn）、分享（Look）、继续（More）、结束（Finished）、召集（Come</w:t>
      </w:r>
      <w:r>
        <w:t xml:space="preserve"> </w:t>
      </w:r>
      <w:r>
        <w:rPr>
          <w:rFonts w:hint="eastAsia"/>
        </w:rPr>
        <w:t xml:space="preserve">here）与协商（Your</w:t>
      </w:r>
      <w:r>
        <w:t xml:space="preserve"> </w:t>
      </w:r>
      <w:r>
        <w:rPr>
          <w:rFonts w:hint="eastAsia"/>
        </w:rPr>
        <w:t xml:space="preserve">turn）。关键并不在于</w:t>
      </w:r>
      <w:r>
        <w:t xml:space="preserve"> AAC </w:t>
      </w:r>
      <w:r>
        <w:rPr>
          <w:rFonts w:hint="eastAsia"/>
        </w:rPr>
        <w:t xml:space="preserve">卡片的数量，而在于儿童”为什么需要使用它”。</w:t>
      </w:r>
    </w:p>
    <w:p>
      <w:pPr>
        <w:pStyle w:val="BodyText"/>
      </w:pPr>
      <w:r>
        <w:rPr>
          <w:rFonts w:hint="eastAsia"/>
        </w:rPr>
        <w:t xml:space="preserve">当儿童正在建造房屋却缺少某一种材料时，</w:t>
      </w:r>
      <w:r>
        <w:t xml:space="preserve">“Help”</w:t>
      </w:r>
      <w:r>
        <w:rPr>
          <w:rFonts w:hint="eastAsia"/>
        </w:rPr>
        <w:t xml:space="preserve">突然具有现实意义；当两名儿童同时需要同一资源时，</w:t>
      </w:r>
      <w:r>
        <w:t xml:space="preserve">“My turn”</w:t>
      </w:r>
      <w:r>
        <w:rPr>
          <w:rFonts w:hint="eastAsia"/>
        </w:rPr>
        <w:t xml:space="preserve">获得社会功能；当儿童完成建筑并希望他人观看时，</w:t>
      </w:r>
      <w:r>
        <w:t xml:space="preserve">“Look”</w:t>
      </w:r>
      <w:r>
        <w:rPr>
          <w:rFonts w:hint="eastAsia"/>
        </w:rPr>
        <w:t xml:space="preserve">成为一种分享行为。这种设计使</w:t>
      </w:r>
      <w:r>
        <w:t xml:space="preserve"> AAC </w:t>
      </w:r>
      <w:r>
        <w:rPr>
          <w:rFonts w:hint="eastAsia"/>
        </w:rPr>
        <w:t xml:space="preserve">从桌面训练材料转变为解决真实问题的沟通工具，也与自然情境</w:t>
      </w:r>
      <w:r>
        <w:t xml:space="preserve"> AAC </w:t>
      </w:r>
      <w:r>
        <w:rPr>
          <w:rFonts w:hint="eastAsia"/>
        </w:rPr>
        <w:t xml:space="preserve">干预的基本逻辑一致：沟通系统越能嵌入儿童真实的社会互动与日常活动，越可能成为具有功能意义的表达方式。</w:t>
      </w:r>
    </w:p>
    <w:bookmarkEnd w:id="19"/>
    <w:bookmarkStart w:id="20" w:name="理念三成人是重要的语言示范者"/>
    <w:p>
      <w:pPr>
        <w:pStyle w:val="Heading3"/>
      </w:pPr>
      <w:r>
        <w:rPr>
          <w:rFonts w:hint="eastAsia"/>
        </w:rPr>
        <w:t xml:space="preserve">理念三：成人是重要的语言示范者</w:t>
      </w:r>
    </w:p>
    <w:p>
      <w:pPr>
        <w:pStyle w:val="FirstParagraph"/>
      </w:pPr>
      <w:r>
        <w:rPr>
          <w:rFonts w:hint="eastAsia"/>
        </w:rPr>
        <w:t xml:space="preserve">沙盒并不意味着成人退出。恰恰相反，成人如何参与游戏，决定了沙盒最终只是”自由玩耍”，还是能够成为具有教育价值的沟通环境。美国</w:t>
      </w:r>
      <w:r>
        <w:t xml:space="preserve"> PLAY Project </w:t>
      </w:r>
      <w:r>
        <w:rPr>
          <w:rFonts w:hint="eastAsia"/>
        </w:rPr>
        <w:t xml:space="preserve">提供了一个重要的现实参照：Solomon</w:t>
      </w:r>
      <w:r>
        <w:t xml:space="preserve"> </w:t>
      </w:r>
      <w:r>
        <w:rPr>
          <w:rFonts w:hint="eastAsia"/>
        </w:rPr>
        <w:t xml:space="preserve">等人（2014）的随机对照研究纳入</w:t>
      </w:r>
      <w:r>
        <w:t xml:space="preserve"> 128 </w:t>
      </w:r>
      <w:r>
        <w:rPr>
          <w:rFonts w:hint="eastAsia"/>
        </w:rPr>
        <w:t xml:space="preserve">名</w:t>
      </w:r>
      <w:r>
        <w:t xml:space="preserve"> 2 </w:t>
      </w:r>
      <w:r>
        <w:rPr>
          <w:rFonts w:hint="eastAsia"/>
        </w:rPr>
        <w:t xml:space="preserve">岁</w:t>
      </w:r>
      <w:r>
        <w:t xml:space="preserve"> 8 </w:t>
      </w:r>
      <w:r>
        <w:rPr>
          <w:rFonts w:hint="eastAsia"/>
        </w:rPr>
        <w:t xml:space="preserve">个月至</w:t>
      </w:r>
      <w:r>
        <w:t xml:space="preserve"> 5 </w:t>
      </w:r>
      <w:r>
        <w:rPr>
          <w:rFonts w:hint="eastAsia"/>
        </w:rPr>
        <w:t xml:space="preserve">岁</w:t>
      </w:r>
      <w:r>
        <w:t xml:space="preserve"> 11 </w:t>
      </w:r>
      <w:r>
        <w:rPr>
          <w:rFonts w:hint="eastAsia"/>
        </w:rPr>
        <w:t xml:space="preserve">个月的儿童，通过为期约</w:t>
      </w:r>
      <w:r>
        <w:t xml:space="preserve"> 12 </w:t>
      </w:r>
      <w:r>
        <w:rPr>
          <w:rFonts w:hint="eastAsia"/>
        </w:rPr>
        <w:t xml:space="preserve">个月的家庭咨询与家长指导，使家长学习如何提高亲子互动质量，并比较了</w:t>
      </w:r>
      <w:r>
        <w:t xml:space="preserve"> PLAY Project </w:t>
      </w:r>
      <w:r>
        <w:rPr>
          <w:rFonts w:hint="eastAsia"/>
        </w:rPr>
        <w:t xml:space="preserve">结合社区服务与单纯社区服务的效果。</w:t>
      </w:r>
    </w:p>
    <w:p>
      <w:pPr>
        <w:pStyle w:val="BodyText"/>
      </w:pPr>
      <w:r>
        <w:rPr>
          <w:rFonts w:hint="eastAsia"/>
        </w:rPr>
        <w:t xml:space="preserve">需要强调的是，PLAY</w:t>
      </w:r>
      <w:r>
        <w:t xml:space="preserve"> Project </w:t>
      </w:r>
      <w:r>
        <w:rPr>
          <w:rFonts w:hint="eastAsia"/>
        </w:rPr>
        <w:t xml:space="preserve">本身并非沙盒干预，因此该研究不能被用来证明”沙盒治疗有效”。其真正值得借鉴之处，是它所体现的成人角色转换：成人不再只是”告诉孩子应该怎么做”，而是进入儿童正在进行的活动，并利用该活动创造共同注意、互动与语言机会。这一思想可直接迁移至沙盒情境。例如，当儿童正在搭建房屋时，成人不必立即发出指令”Say:</w:t>
      </w:r>
      <w:r>
        <w:t xml:space="preserve"> </w:t>
      </w:r>
      <w:r>
        <w:rPr>
          <w:rFonts w:hint="eastAsia"/>
        </w:rPr>
        <w:t xml:space="preserve">house”，而可采用平行谈话（parallel</w:t>
      </w:r>
      <w:r>
        <w:t xml:space="preserve"> </w:t>
      </w:r>
      <w:r>
        <w:rPr>
          <w:rFonts w:hint="eastAsia"/>
        </w:rPr>
        <w:t xml:space="preserve">talk）描述”You</w:t>
      </w:r>
      <w:r>
        <w:t xml:space="preserve"> are building a </w:t>
      </w:r>
      <w:r>
        <w:rPr>
          <w:rFonts w:hint="eastAsia"/>
        </w:rPr>
        <w:t xml:space="preserve">house”，随后等待儿童回应；若儿童望向成人，则扩展为”A</w:t>
      </w:r>
      <w:r>
        <w:t xml:space="preserve"> big house!</w:t>
      </w:r>
      <w:r>
        <w:rPr>
          <w:rFonts w:hint="eastAsia"/>
        </w:rPr>
        <w:t xml:space="preserve">“；若儿童递上积木，则示范”</w:t>
      </w:r>
      <w:r>
        <w:t xml:space="preserve">Give me the </w:t>
      </w:r>
      <w:r>
        <w:rPr>
          <w:rFonts w:hint="eastAsia"/>
        </w:rPr>
        <w:t xml:space="preserve">block”。此类语言输入不破坏儿童的游戏目标，而是将语言自然嵌入儿童正在做的事情之中。</w:t>
      </w:r>
    </w:p>
    <w:bookmarkEnd w:id="20"/>
    <w:bookmarkStart w:id="21" w:name="理念四游戏创造有意义的沟通机会"/>
    <w:p>
      <w:pPr>
        <w:pStyle w:val="Heading3"/>
      </w:pPr>
      <w:r>
        <w:rPr>
          <w:rFonts w:hint="eastAsia"/>
        </w:rPr>
        <w:t xml:space="preserve">理念四：游戏创造有意义的沟通机会</w:t>
      </w:r>
    </w:p>
    <w:p>
      <w:pPr>
        <w:pStyle w:val="FirstParagraph"/>
      </w:pPr>
      <w:r>
        <w:rPr>
          <w:rFonts w:hint="eastAsia"/>
        </w:rPr>
        <w:t xml:space="preserve">游戏的关键教育价值之一，在于它能够制造”儿童为什么需要沟通”的问题。材料不足时，儿童需要请求（I</w:t>
      </w:r>
      <w:r>
        <w:t xml:space="preserve"> need </w:t>
      </w:r>
      <w:r>
        <w:rPr>
          <w:rFonts w:hint="eastAsia"/>
        </w:rPr>
        <w:t xml:space="preserve">blocks）；完成作品后希望被看见，儿童可以表达分享（Look）；两人争用同一资源时，需要轮流（My</w:t>
      </w:r>
      <w:r>
        <w:t xml:space="preserve"> </w:t>
      </w:r>
      <w:r>
        <w:rPr>
          <w:rFonts w:hint="eastAsia"/>
        </w:rPr>
        <w:t xml:space="preserve">turn）；共同建造桥梁时，需要分工协商（You</w:t>
      </w:r>
      <w:r>
        <w:t xml:space="preserve"> build </w:t>
      </w:r>
      <w:r>
        <w:rPr>
          <w:rFonts w:hint="eastAsia"/>
        </w:rPr>
        <w:t xml:space="preserve">here）；建筑出现错误时，需要求助（Help</w:t>
      </w:r>
      <w:r>
        <w:t xml:space="preserve"> </w:t>
      </w:r>
      <w:r>
        <w:rPr>
          <w:rFonts w:hint="eastAsia"/>
        </w:rPr>
        <w:t xml:space="preserve">me）。</w:t>
      </w:r>
    </w:p>
    <w:p>
      <w:pPr>
        <w:pStyle w:val="BodyText"/>
      </w:pPr>
      <w:r>
        <w:rPr>
          <w:rFonts w:hint="eastAsia"/>
        </w:rPr>
        <w:t xml:space="preserve">由此可见，游戏的价值并不只是”提高儿童兴趣”。更重要的是，它改变了沟通的功能：在传统训练中，儿童可能因为教师的要求而说话；在游戏中，儿童则可能因为自己想要完成某件事而主动沟通。这一区别对于理解自然情境干预至关重要。</w:t>
      </w:r>
    </w:p>
    <w:bookmarkEnd w:id="21"/>
    <w:bookmarkStart w:id="22" w:name="理念五功能化个体化与协作化"/>
    <w:p>
      <w:pPr>
        <w:pStyle w:val="Heading3"/>
      </w:pPr>
      <w:r>
        <w:rPr>
          <w:rFonts w:hint="eastAsia"/>
        </w:rPr>
        <w:t xml:space="preserve">理念五：功能化、个体化与协作化</w:t>
      </w:r>
    </w:p>
    <w:p>
      <w:pPr>
        <w:pStyle w:val="FirstParagraph"/>
      </w:pPr>
      <w:r>
        <w:rPr>
          <w:rFonts w:hint="eastAsia"/>
        </w:rPr>
        <w:t xml:space="preserve">第五项理念包含三个相互支撑的取向。功能化意味着干预目标不是让儿童记住更多句子，而是解决真实问题，因此</w:t>
      </w:r>
      <w:r>
        <w:t xml:space="preserve"> Help、More、Stop、My turn、Look </w:t>
      </w:r>
      <w:r>
        <w:rPr>
          <w:rFonts w:hint="eastAsia"/>
        </w:rPr>
        <w:t xml:space="preserve">等表达都应具有直接功能。个体化意味着不同儿童对沙盒环境的反应可能完全不同：触觉敏感儿童可能不适合实体沙；视觉兴趣明显的儿童可能在数字建构中获得更强动机；语言能力较低的儿童应以</w:t>
      </w:r>
      <w:r>
        <w:t xml:space="preserve"> AAC </w:t>
      </w:r>
      <w:r>
        <w:rPr>
          <w:rFonts w:hint="eastAsia"/>
        </w:rPr>
        <w:t xml:space="preserve">作为核心沟通渠道；而语言能力较高的儿童，干预重点则可转向协商、观点理解与合作解决问题。因此，并不存在一种适用于所有</w:t>
      </w:r>
      <w:r>
        <w:t xml:space="preserve"> ASD </w:t>
      </w:r>
      <w:r>
        <w:rPr>
          <w:rFonts w:hint="eastAsia"/>
        </w:rPr>
        <w:t xml:space="preserve">儿童的”标准沙盒”。</w:t>
      </w:r>
    </w:p>
    <w:p>
      <w:pPr>
        <w:pStyle w:val="BodyText"/>
      </w:pPr>
      <w:r>
        <w:rPr>
          <w:rFonts w:hint="eastAsia"/>
        </w:rPr>
        <w:t xml:space="preserve">协作化则意味着干预不能止于治疗室。儿童在沙盒中学会”Help</w:t>
      </w:r>
      <w:r>
        <w:t xml:space="preserve"> </w:t>
      </w:r>
      <w:r>
        <w:rPr>
          <w:rFonts w:hint="eastAsia"/>
        </w:rPr>
        <w:t xml:space="preserve">me”，下一步必须能够在课堂中使用；在</w:t>
      </w:r>
      <w:r>
        <w:t xml:space="preserve"> Minecraft </w:t>
      </w:r>
      <w:r>
        <w:rPr>
          <w:rFonts w:hint="eastAsia"/>
        </w:rPr>
        <w:t xml:space="preserve">中学会”Your</w:t>
      </w:r>
      <w:r>
        <w:t xml:space="preserve"> </w:t>
      </w:r>
      <w:r>
        <w:rPr>
          <w:rFonts w:hint="eastAsia"/>
        </w:rPr>
        <w:t xml:space="preserve">turn”，下一步必须能够在真实同伴游戏中使用。因此，干预应当形成治疗师、教师、家长与同伴之间的协作链条。PLAY</w:t>
      </w:r>
      <w:r>
        <w:t xml:space="preserve"> Project </w:t>
      </w:r>
      <w:r>
        <w:rPr>
          <w:rFonts w:hint="eastAsia"/>
        </w:rPr>
        <w:t xml:space="preserve">与</w:t>
      </w:r>
      <w:r>
        <w:t xml:space="preserve"> JASPER </w:t>
      </w:r>
      <w:r>
        <w:rPr>
          <w:rFonts w:hint="eastAsia"/>
        </w:rPr>
        <w:t xml:space="preserve">等自然情境干预研究给予沙盒干预的重要启示正在于此：家长介入、自然互动与课堂情境之间的联系，对儿童技能的发展与迁移具有关键意义（Kasari</w:t>
      </w:r>
      <w:r>
        <w:t xml:space="preserve"> et al., </w:t>
      </w:r>
      <w:r>
        <w:rPr>
          <w:rFonts w:hint="eastAsia"/>
        </w:rPr>
        <w:t xml:space="preserve">2015；Solomon</w:t>
      </w:r>
      <w:r>
        <w:t xml:space="preserve"> et al., </w:t>
      </w:r>
      <w:r>
        <w:rPr>
          <w:rFonts w:hint="eastAsia"/>
        </w:rPr>
        <w:t xml:space="preserve">2014）。</w:t>
      </w:r>
    </w:p>
    <w:bookmarkEnd w:id="22"/>
    <w:bookmarkEnd w:id="23"/>
    <w:bookmarkStart w:id="27" w:name="核心论证沙盒不是治疗嵌入才是干预"/>
    <w:p>
      <w:pPr>
        <w:pStyle w:val="Heading2"/>
      </w:pPr>
      <w:r>
        <w:rPr>
          <w:rFonts w:hint="eastAsia"/>
        </w:rPr>
        <w:t xml:space="preserve">核心论证：沙盒不是治疗，嵌入才是干预</w:t>
      </w:r>
    </w:p>
    <w:bookmarkStart w:id="24" w:name="论证的提出"/>
    <w:p>
      <w:pPr>
        <w:pStyle w:val="Heading3"/>
      </w:pPr>
      <w:r>
        <w:rPr>
          <w:rFonts w:hint="eastAsia"/>
        </w:rPr>
        <w:t xml:space="preserve">论证的提出</w:t>
      </w:r>
    </w:p>
    <w:p>
      <w:pPr>
        <w:pStyle w:val="FirstParagraph"/>
      </w:pPr>
      <w:r>
        <w:rPr>
          <w:rFonts w:hint="eastAsia"/>
        </w:rPr>
        <w:t xml:space="preserve">在上述概念辨析与理论框架的基础上，本文提出如下核心论证：</w:t>
      </w:r>
    </w:p>
    <w:p>
      <w:pPr>
        <w:pStyle w:val="BodyText"/>
      </w:pPr>
      <w:r>
        <w:rPr>
          <w:rFonts w:hint="eastAsia"/>
          <w:i/>
          <w:iCs/>
        </w:rPr>
        <w:t xml:space="preserve">沙盒本身不是治疗方法；真正具有干预价值的是”以儿童主动游戏为载体，将</w:t>
      </w:r>
      <w:r>
        <w:rPr>
          <w:i/>
          <w:iCs/>
        </w:rPr>
        <w:t xml:space="preserve"> </w:t>
      </w:r>
      <w:r>
        <w:rPr>
          <w:rFonts w:hint="eastAsia"/>
          <w:i/>
          <w:iCs/>
        </w:rPr>
        <w:t xml:space="preserve">AAC、成人语言示范、自然社会互动与功能性沟通目标嵌入其中”。</w:t>
      </w:r>
    </w:p>
    <w:p>
      <w:pPr>
        <w:pStyle w:val="BodyText"/>
      </w:pPr>
      <w:r>
        <w:rPr>
          <w:rFonts w:hint="eastAsia"/>
        </w:rPr>
        <w:t xml:space="preserve">这一表述具有两重含义。第一，它拒绝把媒介当作活性成分：Minecraft、沙盘或</w:t>
      </w:r>
      <w:r>
        <w:t xml:space="preserve"> VR </w:t>
      </w:r>
      <w:r>
        <w:rPr>
          <w:rFonts w:hint="eastAsia"/>
        </w:rPr>
        <w:t xml:space="preserve">环境本身并不构成干预，它们只是承载沟通机会的”容器”。第二，它把干预的活性成分明确归结为一组可操作、可测量、可迁移的要素组合——儿童主动性、游戏动机、AAC</w:t>
      </w:r>
      <w:r>
        <w:t xml:space="preserve"> </w:t>
      </w:r>
      <w:r>
        <w:rPr>
          <w:rFonts w:hint="eastAsia"/>
        </w:rPr>
        <w:t xml:space="preserve">支持、成人示范、同伴互动、自然情境、功能性目标与跨环境迁移。若抽离这些要素，仅保留媒介，则沙盒与普通的自由游戏并无本质差别。</w:t>
      </w:r>
    </w:p>
    <w:p>
      <w:pPr>
        <w:pStyle w:val="BodyText"/>
      </w:pPr>
      <w:r>
        <w:rPr>
          <w:rFonts w:hint="eastAsia"/>
        </w:rPr>
        <w:t xml:space="preserve">这一论证同时具有方法上的重要性：它使”沙盒干预”从一种含混的媒介标签，转变为一组可被独立操作与检验的变量。后续研究因此可以对单个要素进行拆解（例如比较有无成人示范、有无</w:t>
      </w:r>
      <w:r>
        <w:t xml:space="preserve"> </w:t>
      </w:r>
      <w:r>
        <w:rPr>
          <w:rFonts w:hint="eastAsia"/>
        </w:rPr>
        <w:t xml:space="preserve">AAC、有无迁移设计），而不必再把”沙盒”当作一个不可分割的整体来评估。</w:t>
      </w:r>
    </w:p>
    <w:bookmarkEnd w:id="24"/>
    <w:bookmarkStart w:id="25" w:name="作用机制沟通机会结构的重组"/>
    <w:p>
      <w:pPr>
        <w:pStyle w:val="Heading3"/>
      </w:pPr>
      <w:r>
        <w:rPr>
          <w:rFonts w:hint="eastAsia"/>
        </w:rPr>
        <w:t xml:space="preserve">作用机制：沟通机会结构的重组</w:t>
      </w:r>
    </w:p>
    <w:p>
      <w:pPr>
        <w:pStyle w:val="FirstParagraph"/>
      </w:pPr>
      <w:r>
        <w:rPr>
          <w:rFonts w:hint="eastAsia"/>
        </w:rPr>
        <w:t xml:space="preserve">从机制层面看，沙盒干预最值得关注的并不是”儿童是否喜欢游戏”，而是”游戏是否改变了儿童与他人发生沟通的机会结构”。传统训练的典型序列是：成人提问—儿童回答—成人评价；而沙盒环境可以形成另一种序列：儿童确立目标—遇到障碍—产生沟通需求—发起沟通—成人或同伴回应—目标达成。</w:t>
      </w:r>
    </w:p>
    <w:p>
      <w:pPr>
        <w:pStyle w:val="BodyText"/>
      </w:pPr>
      <w:r>
        <w:rPr>
          <w:rFonts w:hint="eastAsia"/>
        </w:rPr>
        <w:t xml:space="preserve">两者的根本区别在于沟通的主动权归属。在前一种模式中，沟通由成人启动，儿童的角色是回应者；在后一种模式中，沟通可能由儿童自己的目标启动，儿童的角色是发起者。当沟通由儿童的目标启动时，沟通不再是外加于游戏的额外任务，而成为完成游戏目标所必需的工具。这一转变，可能正是沙盒环境对于</w:t>
      </w:r>
      <w:r>
        <w:t xml:space="preserve"> ASD </w:t>
      </w:r>
      <w:r>
        <w:rPr>
          <w:rFonts w:hint="eastAsia"/>
        </w:rPr>
        <w:t xml:space="preserve">沟通干预最重要的潜在价值。</w:t>
      </w:r>
    </w:p>
    <w:bookmarkEnd w:id="25"/>
    <w:bookmarkStart w:id="26" w:name="从成人启动到儿童启动"/>
    <w:p>
      <w:pPr>
        <w:pStyle w:val="Heading3"/>
      </w:pPr>
      <w:r>
        <w:rPr>
          <w:rFonts w:hint="eastAsia"/>
        </w:rPr>
        <w:t xml:space="preserve">从”成人启动”到”儿童启动”</w:t>
      </w:r>
    </w:p>
    <w:p>
      <w:pPr>
        <w:pStyle w:val="FirstParagraph"/>
      </w:pPr>
      <w:r>
        <w:rPr>
          <w:rFonts w:hint="eastAsia"/>
        </w:rPr>
        <w:t xml:space="preserve">上述机制可进一步形式化为一个行为序列：儿童想建房子—发现缺少材料—需要他人帮助—产生沟通需求—使用</w:t>
      </w:r>
      <w:r>
        <w:t xml:space="preserve"> AAC </w:t>
      </w:r>
      <w:r>
        <w:rPr>
          <w:rFonts w:hint="eastAsia"/>
        </w:rPr>
        <w:t xml:space="preserve">或口语表达—获得材料—继续游戏。在这一序列中，每一步都可由研究者独立观测与编码：目标的建立、障碍的出现、沟通行为的发起、沟通形式的通道、回应的获得以及游戏的延续。</w:t>
      </w:r>
    </w:p>
    <w:p>
      <w:pPr>
        <w:pStyle w:val="BodyText"/>
      </w:pPr>
      <w:r>
        <w:rPr>
          <w:rFonts w:hint="eastAsia"/>
        </w:rPr>
        <w:t xml:space="preserve">这种可分解性为未来的机制研究提供了便利。研究者可以检验：当障碍被系统性移除时，沟通发起频率是否随之下降（从而验证”需求驱动”假设）；当</w:t>
      </w:r>
      <w:r>
        <w:t xml:space="preserve"> AAC </w:t>
      </w:r>
      <w:r>
        <w:rPr>
          <w:rFonts w:hint="eastAsia"/>
        </w:rPr>
        <w:t xml:space="preserve">选项被移除时，儿童是否退回到非符号沟通或放弃目标（从而验证</w:t>
      </w:r>
      <w:r>
        <w:t xml:space="preserve"> AAC </w:t>
      </w:r>
      <w:r>
        <w:rPr>
          <w:rFonts w:hint="eastAsia"/>
        </w:rPr>
        <w:t xml:space="preserve">的功能性）；当成人示范被移除时，儿童的表达复杂度是否下降（从而验证成人示范的独立贡献）。</w:t>
      </w:r>
    </w:p>
    <w:bookmarkEnd w:id="26"/>
    <w:bookmarkEnd w:id="27"/>
    <w:bookmarkStart w:id="34" w:name="全球证据的分类评述"/>
    <w:p>
      <w:pPr>
        <w:pStyle w:val="Heading2"/>
      </w:pPr>
      <w:r>
        <w:rPr>
          <w:rFonts w:hint="eastAsia"/>
        </w:rPr>
        <w:t xml:space="preserve">全球证据的分类评述</w:t>
      </w:r>
    </w:p>
    <w:p>
      <w:pPr>
        <w:pStyle w:val="FirstParagraph"/>
      </w:pPr>
      <w:r>
        <w:rPr>
          <w:rFonts w:hint="eastAsia"/>
        </w:rPr>
        <w:t xml:space="preserve">本节按范式归属对国际案例进行分类评述，并在每一案例后明确标注该证据”可以支撑什么”以及”不可以支撑什么”。</w:t>
      </w:r>
    </w:p>
    <w:bookmarkStart w:id="28" w:name="自然情境干预的总体证据基础"/>
    <w:p>
      <w:pPr>
        <w:pStyle w:val="Heading3"/>
      </w:pPr>
      <w:r>
        <w:rPr>
          <w:rFonts w:hint="eastAsia"/>
        </w:rPr>
        <w:t xml:space="preserve">自然情境干预的总体证据基础</w:t>
      </w:r>
    </w:p>
    <w:p>
      <w:pPr>
        <w:pStyle w:val="FirstParagraph"/>
      </w:pPr>
      <w:r>
        <w:rPr>
          <w:rFonts w:hint="eastAsia"/>
        </w:rPr>
        <w:t xml:space="preserve">在讨论具体沙盒案例之前，有必要先交代自然情境干预的整体证据状况。Schreibman</w:t>
      </w:r>
      <w:r>
        <w:t xml:space="preserve"> </w:t>
      </w:r>
      <w:r>
        <w:rPr>
          <w:rFonts w:hint="eastAsia"/>
        </w:rPr>
        <w:t xml:space="preserve">等人（2015）将</w:t>
      </w:r>
      <w:r>
        <w:t xml:space="preserve"> </w:t>
      </w:r>
      <w:r>
        <w:rPr>
          <w:rFonts w:hint="eastAsia"/>
        </w:rPr>
        <w:t xml:space="preserve">JASPER、早期介入丹佛模式（ESDM）、关键反应训练（PRT）等归类为自然情境发展行为干预，并指出这类取向已获得实证支持，其共同机制是儿童主动发起、成人即时回应与自然环境中的目标嵌入。</w:t>
      </w:r>
    </w:p>
    <w:p>
      <w:pPr>
        <w:pStyle w:val="BodyText"/>
      </w:pPr>
      <w:r>
        <w:rPr>
          <w:rFonts w:hint="eastAsia"/>
        </w:rPr>
        <w:t xml:space="preserve">与此同时，整体效应量的估计仍须谨慎。Sandbank</w:t>
      </w:r>
      <w:r>
        <w:t xml:space="preserve"> </w:t>
      </w:r>
      <w:r>
        <w:rPr>
          <w:rFonts w:hint="eastAsia"/>
        </w:rPr>
        <w:t xml:space="preserve">等人（2020）对幼儿期孤独症干预研究进行的元分析提示，早期干预研究的汇总效应量可能受到发表偏倚与测量工具选择的影响，若干领域的效应在控制偏倚后明显减弱。这一背景对沙盒研究具有直接意义：在一个总体效应量尚需审慎解读的领域中，任何来自小样本试点研究的积极信号，都不应被迅速表述为”已证实的临床疗效”。</w:t>
      </w:r>
    </w:p>
    <w:bookmarkEnd w:id="28"/>
    <w:bookmarkStart w:id="29" w:name="美国案例一play-project-中的成人中介"/>
    <w:p>
      <w:pPr>
        <w:pStyle w:val="Heading3"/>
      </w:pPr>
      <w:r>
        <w:rPr>
          <w:rFonts w:hint="eastAsia"/>
        </w:rPr>
        <w:t xml:space="preserve">美国案例一：PLAY</w:t>
      </w:r>
      <w:r>
        <w:t xml:space="preserve"> Project </w:t>
      </w:r>
      <w:r>
        <w:rPr>
          <w:rFonts w:hint="eastAsia"/>
        </w:rPr>
        <w:t xml:space="preserve">中的成人中介</w:t>
      </w:r>
    </w:p>
    <w:p>
      <w:pPr>
        <w:pStyle w:val="FirstParagraph"/>
      </w:pPr>
      <w:r>
        <w:t xml:space="preserve">PLAY Project </w:t>
      </w:r>
      <w:r>
        <w:rPr>
          <w:rFonts w:hint="eastAsia"/>
        </w:rPr>
        <w:t xml:space="preserve">以家庭咨询与家长指导为主要形式，研究比较了</w:t>
      </w:r>
      <w:r>
        <w:t xml:space="preserve"> PLAY Project </w:t>
      </w:r>
      <w:r>
        <w:rPr>
          <w:rFonts w:hint="eastAsia"/>
        </w:rPr>
        <w:t xml:space="preserve">结合社区服务与单纯社区服务的效果（Solomon</w:t>
      </w:r>
      <w:r>
        <w:t xml:space="preserve"> et al., </w:t>
      </w:r>
      <w:r>
        <w:rPr>
          <w:rFonts w:hint="eastAsia"/>
        </w:rPr>
        <w:t xml:space="preserve">2014）。就该研究的范式归属而言，它属于自然情境、家长中介的互动干预，而非数字沙盒干预。</w:t>
      </w:r>
    </w:p>
    <w:p>
      <w:pPr>
        <w:pStyle w:val="BodyText"/>
      </w:pPr>
      <w:r>
        <w:rPr>
          <w:rFonts w:hint="eastAsia"/>
        </w:rPr>
        <w:t xml:space="preserve">该证据可以支撑的结论是：通过结构化指导提升家长在自然互动中的回应质量，是可行的，并可带来亲子互动层面的改善。它不可以支撑的结论是：沙盒或</w:t>
      </w:r>
      <w:r>
        <w:t xml:space="preserve"> Minecraft </w:t>
      </w:r>
      <w:r>
        <w:rPr>
          <w:rFonts w:hint="eastAsia"/>
        </w:rPr>
        <w:t xml:space="preserve">类游戏本身能够改善</w:t>
      </w:r>
      <w:r>
        <w:t xml:space="preserve"> ASD </w:t>
      </w:r>
      <w:r>
        <w:rPr>
          <w:rFonts w:hint="eastAsia"/>
        </w:rPr>
        <w:t xml:space="preserve">儿童的沟通能力。本文引用该研究，仅用于说明”成人作为语言示范者与互动中介”这一要素的作用。</w:t>
      </w:r>
    </w:p>
    <w:bookmarkEnd w:id="29"/>
    <w:bookmarkStart w:id="30" w:name="美国案例二jasper-中的共同注意与课堂迁移"/>
    <w:p>
      <w:pPr>
        <w:pStyle w:val="Heading3"/>
      </w:pPr>
      <w:r>
        <w:rPr>
          <w:rFonts w:hint="eastAsia"/>
        </w:rPr>
        <w:t xml:space="preserve">美国案例二：JASPER</w:t>
      </w:r>
      <w:r>
        <w:t xml:space="preserve"> </w:t>
      </w:r>
      <w:r>
        <w:rPr>
          <w:rFonts w:hint="eastAsia"/>
        </w:rPr>
        <w:t xml:space="preserve">中的共同注意与课堂迁移</w:t>
      </w:r>
    </w:p>
    <w:p>
      <w:pPr>
        <w:pStyle w:val="FirstParagraph"/>
      </w:pPr>
      <w:r>
        <w:t xml:space="preserve">JASPER </w:t>
      </w:r>
      <w:r>
        <w:rPr>
          <w:rFonts w:hint="eastAsia"/>
        </w:rPr>
        <w:t xml:space="preserve">围绕共同注意、象征性游戏、参与与调节四个核心领域展开干预。Goods</w:t>
      </w:r>
      <w:r>
        <w:t xml:space="preserve"> </w:t>
      </w:r>
      <w:r>
        <w:rPr>
          <w:rFonts w:hint="eastAsia"/>
        </w:rPr>
        <w:t xml:space="preserve">等人（2013）的随机对照先导研究显示，接受</w:t>
      </w:r>
      <w:r>
        <w:t xml:space="preserve"> JASPER </w:t>
      </w:r>
      <w:r>
        <w:rPr>
          <w:rFonts w:hint="eastAsia"/>
        </w:rPr>
        <w:t xml:space="preserve">干预的最低限度口语儿童表现出更丰富的游戏形式，且在课堂情境中观察到主动手势的增加与非参与状态的减少。Kasari</w:t>
      </w:r>
      <w:r>
        <w:t xml:space="preserve"> </w:t>
      </w:r>
      <w:r>
        <w:rPr>
          <w:rFonts w:hint="eastAsia"/>
        </w:rPr>
        <w:t xml:space="preserve">等人（2015）的家长中介干预比较研究进一步提示，家长在自然互动中的介入与儿童沟通结果之间存在关联。</w:t>
      </w:r>
    </w:p>
    <w:p>
      <w:pPr>
        <w:pStyle w:val="BodyText"/>
      </w:pPr>
      <w:r>
        <w:rPr>
          <w:rFonts w:hint="eastAsia"/>
        </w:rPr>
        <w:t xml:space="preserve">对沙盒干预而言，JASPER</w:t>
      </w:r>
      <w:r>
        <w:t xml:space="preserve"> </w:t>
      </w:r>
      <w:r>
        <w:rPr>
          <w:rFonts w:hint="eastAsia"/>
        </w:rPr>
        <w:t xml:space="preserve">的启示不在于”沙子”或”游戏”本身，而在于它展示了共同注意与象征性游戏如何成为社会沟通的载体。换言之，沙盒只是媒介，而不是目的；沙盒值得被采纳的前提，是它能够承载共同注意、象征性游戏与社会参与这些已经被证明具有干预价值的要素。</w:t>
      </w:r>
    </w:p>
    <w:bookmarkEnd w:id="30"/>
    <w:bookmarkStart w:id="31" w:name="英国与爱尔兰方向social-craft-与泛化难题"/>
    <w:p>
      <w:pPr>
        <w:pStyle w:val="Heading3"/>
      </w:pPr>
      <w:r>
        <w:rPr>
          <w:rFonts w:hint="eastAsia"/>
        </w:rPr>
        <w:t xml:space="preserve">英国与爱尔兰方向：Social</w:t>
      </w:r>
      <w:r>
        <w:t xml:space="preserve"> Craft </w:t>
      </w:r>
      <w:r>
        <w:rPr>
          <w:rFonts w:hint="eastAsia"/>
        </w:rPr>
        <w:t xml:space="preserve">与泛化难题</w:t>
      </w:r>
    </w:p>
    <w:p>
      <w:pPr>
        <w:pStyle w:val="FirstParagraph"/>
      </w:pPr>
      <w:r>
        <w:rPr>
          <w:rFonts w:hint="eastAsia"/>
        </w:rPr>
        <w:t xml:space="preserve">在数字沙盒范式中，Minecraft</w:t>
      </w:r>
      <w:r>
        <w:t xml:space="preserve"> </w:t>
      </w:r>
      <w:r>
        <w:rPr>
          <w:rFonts w:hint="eastAsia"/>
        </w:rPr>
        <w:t xml:space="preserve">是目前讨论最多的真实案例。Cadieux</w:t>
      </w:r>
      <w:r>
        <w:t xml:space="preserve"> </w:t>
      </w:r>
      <w:r>
        <w:rPr>
          <w:rFonts w:hint="eastAsia"/>
        </w:rPr>
        <w:t xml:space="preserve">与</w:t>
      </w:r>
      <w:r>
        <w:t xml:space="preserve"> </w:t>
      </w:r>
      <w:r>
        <w:rPr>
          <w:rFonts w:hint="eastAsia"/>
        </w:rPr>
        <w:t xml:space="preserve">Keenan（2020）提出的</w:t>
      </w:r>
      <w:r>
        <w:t xml:space="preserve"> Social Craft </w:t>
      </w:r>
      <w:r>
        <w:rPr>
          <w:rFonts w:hint="eastAsia"/>
        </w:rPr>
        <w:t xml:space="preserve">框架专门处理了一个关键问题：如果儿童在</w:t>
      </w:r>
      <w:r>
        <w:t xml:space="preserve"> Minecraft </w:t>
      </w:r>
      <w:r>
        <w:rPr>
          <w:rFonts w:hint="eastAsia"/>
        </w:rPr>
        <w:t xml:space="preserve">中习得了社会沟通技能，这些技能能否迁移到现实生活？研究者指出，Minecraft</w:t>
      </w:r>
      <w:r>
        <w:t xml:space="preserve"> </w:t>
      </w:r>
      <w:r>
        <w:rPr>
          <w:rFonts w:hint="eastAsia"/>
        </w:rPr>
        <w:t xml:space="preserve">已被</w:t>
      </w:r>
      <w:r>
        <w:t xml:space="preserve"> ASD </w:t>
      </w:r>
      <w:r>
        <w:rPr>
          <w:rFonts w:hint="eastAsia"/>
        </w:rPr>
        <w:t xml:space="preserve">相关社群用于促进儿童社会互动，但当时关于游戏内部技能能否泛化至游戏外环境的实证研究仍然有限，因此主张同时测量游戏内与游戏外的社会沟通表现。</w:t>
      </w:r>
    </w:p>
    <w:p>
      <w:pPr>
        <w:pStyle w:val="BodyText"/>
      </w:pPr>
      <w:r>
        <w:rPr>
          <w:rFonts w:hint="eastAsia"/>
        </w:rPr>
        <w:t xml:space="preserve">这一主张揭示了数字沙盒干预最大的理论挑战：虚拟成功不等于现实泛化（Virtual</w:t>
      </w:r>
      <w:r>
        <w:t xml:space="preserve"> success ≠ real-world </w:t>
      </w:r>
      <w:r>
        <w:rPr>
          <w:rFonts w:hint="eastAsia"/>
        </w:rPr>
        <w:t xml:space="preserve">generalization）。如果一名儿童能够在</w:t>
      </w:r>
      <w:r>
        <w:t xml:space="preserve"> Minecraft </w:t>
      </w:r>
      <w:r>
        <w:rPr>
          <w:rFonts w:hint="eastAsia"/>
        </w:rPr>
        <w:t xml:space="preserve">中说”Your</w:t>
      </w:r>
      <w:r>
        <w:t xml:space="preserve"> </w:t>
      </w:r>
      <w:r>
        <w:rPr>
          <w:rFonts w:hint="eastAsia"/>
        </w:rPr>
        <w:t xml:space="preserve">turn”，但在真实课堂中依然不会等待同伴，则很难断言其社会沟通能力已经得到改善。因此，数字沙盒干预必须从设计之初就规划”迁移桥梁”，例如</w:t>
      </w:r>
      <w:r>
        <w:t xml:space="preserve"> Minecraft → </w:t>
      </w:r>
      <w:r>
        <w:rPr>
          <w:rFonts w:hint="eastAsia"/>
        </w:rPr>
        <w:t xml:space="preserve">面对面建构游戏</w:t>
      </w:r>
      <w:r>
        <w:t xml:space="preserve"> → </w:t>
      </w:r>
      <w:r>
        <w:rPr>
          <w:rFonts w:hint="eastAsia"/>
        </w:rPr>
        <w:t xml:space="preserve">教室合作任务</w:t>
      </w:r>
      <w:r>
        <w:t xml:space="preserve"> → </w:t>
      </w:r>
      <w:r>
        <w:rPr>
          <w:rFonts w:hint="eastAsia"/>
        </w:rPr>
        <w:t xml:space="preserve">操场同伴游戏，而不是让</w:t>
      </w:r>
      <w:r>
        <w:t xml:space="preserve"> Minecraft </w:t>
      </w:r>
      <w:r>
        <w:rPr>
          <w:rFonts w:hint="eastAsia"/>
        </w:rPr>
        <w:t xml:space="preserve">成为一个封闭的训练世界。</w:t>
      </w:r>
    </w:p>
    <w:p>
      <w:pPr>
        <w:pStyle w:val="BodyText"/>
      </w:pPr>
      <w:r>
        <w:rPr>
          <w:rFonts w:hint="eastAsia"/>
        </w:rPr>
        <w:t xml:space="preserve">该证据可以支撑的结论是：数字沙盒具备创造社会协作机会的潜力，且泛化问题应被前置于研究设计之中。它不可以支撑的结论是：Minecraft</w:t>
      </w:r>
      <w:r>
        <w:t xml:space="preserve"> </w:t>
      </w:r>
      <w:r>
        <w:rPr>
          <w:rFonts w:hint="eastAsia"/>
        </w:rPr>
        <w:t xml:space="preserve">已被证实能够改善</w:t>
      </w:r>
      <w:r>
        <w:t xml:space="preserve"> ASD </w:t>
      </w:r>
      <w:r>
        <w:rPr>
          <w:rFonts w:hint="eastAsia"/>
        </w:rPr>
        <w:t xml:space="preserve">儿童的社会技能。</w:t>
      </w:r>
    </w:p>
    <w:bookmarkEnd w:id="31"/>
    <w:bookmarkStart w:id="32" w:name="美国虚拟现实案例虚拟社会沙盒的设计与可行性"/>
    <w:p>
      <w:pPr>
        <w:pStyle w:val="Heading3"/>
      </w:pPr>
      <w:r>
        <w:rPr>
          <w:rFonts w:hint="eastAsia"/>
        </w:rPr>
        <w:t xml:space="preserve">美国虚拟现实案例：虚拟社会沙盒的设计与可行性</w:t>
      </w:r>
    </w:p>
    <w:p>
      <w:pPr>
        <w:pStyle w:val="FirstParagraph"/>
      </w:pPr>
      <w:r>
        <w:t xml:space="preserve">Ke </w:t>
      </w:r>
      <w:r>
        <w:rPr>
          <w:rFonts w:hint="eastAsia"/>
        </w:rPr>
        <w:t xml:space="preserve">等人（2023）开展的虚拟社会沙盒设计与部署研究，探索基于网络虚拟现实的社会学习空间是否能够进入自闭症儿童的家庭学习环境。该研究以虚拟社会环境的设计与可行性为重点，而非以证明临床治疗效果为目标。</w:t>
      </w:r>
    </w:p>
    <w:p>
      <w:pPr>
        <w:pStyle w:val="BodyText"/>
      </w:pPr>
      <w:r>
        <w:rPr>
          <w:rFonts w:hint="eastAsia"/>
        </w:rPr>
        <w:t xml:space="preserve">这类研究代表沙盒干预的技术演进方向：从实体沙盒，到类</w:t>
      </w:r>
      <w:r>
        <w:t xml:space="preserve"> Minecraft </w:t>
      </w:r>
      <w:r>
        <w:rPr>
          <w:rFonts w:hint="eastAsia"/>
        </w:rPr>
        <w:t xml:space="preserve">的数字环境，再到基于网络或头戴设备的虚拟社会空间，未来可能进一步与</w:t>
      </w:r>
      <w:r>
        <w:t xml:space="preserve"> AAC </w:t>
      </w:r>
      <w:r>
        <w:rPr>
          <w:rFonts w:hint="eastAsia"/>
        </w:rPr>
        <w:t xml:space="preserve">和智能提示系统结合。例如，智能系统可根据儿童当前行为识别潜在的沟通机会（如儿童需要帮助），但不直接代替儿童说话，而是提供</w:t>
      </w:r>
      <w:r>
        <w:t xml:space="preserve"> Help、More、Look、My turn </w:t>
      </w:r>
      <w:r>
        <w:rPr>
          <w:rFonts w:hint="eastAsia"/>
        </w:rPr>
        <w:t xml:space="preserve">等</w:t>
      </w:r>
      <w:r>
        <w:t xml:space="preserve"> AAC </w:t>
      </w:r>
      <w:r>
        <w:rPr>
          <w:rFonts w:hint="eastAsia"/>
        </w:rPr>
        <w:t xml:space="preserve">选项供其选择。这种设计比让人工智能直接与儿童对话更符合特殊教育的辅助逻辑。</w:t>
      </w:r>
    </w:p>
    <w:p>
      <w:pPr>
        <w:pStyle w:val="BodyText"/>
      </w:pPr>
      <w:r>
        <w:rPr>
          <w:rFonts w:hint="eastAsia"/>
        </w:rPr>
        <w:t xml:space="preserve">该证据可以支撑的结论是：虚拟社会沙盒在家庭与临床场景中的部署具有可行性，并可提炼出相应的设计原则。它不可以支撑的结论是：VR</w:t>
      </w:r>
      <w:r>
        <w:t xml:space="preserve"> </w:t>
      </w:r>
      <w:r>
        <w:rPr>
          <w:rFonts w:hint="eastAsia"/>
        </w:rPr>
        <w:t xml:space="preserve">环境本身能够产生临床级别的社会沟通改善。</w:t>
      </w:r>
    </w:p>
    <w:bookmarkEnd w:id="32"/>
    <w:bookmarkStart w:id="33" w:name="澳大利亚案例作为限制性案例的-minecraft-社会协作试点"/>
    <w:p>
      <w:pPr>
        <w:pStyle w:val="Heading3"/>
      </w:pPr>
      <w:r>
        <w:rPr>
          <w:rFonts w:hint="eastAsia"/>
        </w:rPr>
        <w:t xml:space="preserve">澳大利亚案例：作为限制性案例的</w:t>
      </w:r>
      <w:r>
        <w:t xml:space="preserve"> Minecraft </w:t>
      </w:r>
      <w:r>
        <w:rPr>
          <w:rFonts w:hint="eastAsia"/>
        </w:rPr>
        <w:t xml:space="preserve">社会协作试点</w:t>
      </w:r>
    </w:p>
    <w:p>
      <w:pPr>
        <w:pStyle w:val="FirstParagraph"/>
      </w:pPr>
      <w:r>
        <w:rPr>
          <w:rFonts w:hint="eastAsia"/>
        </w:rPr>
        <w:t xml:space="preserve">本节有意将一个”结果并不理想”的研究作为限制性案例（limiting</w:t>
      </w:r>
      <w:r>
        <w:t xml:space="preserve"> </w:t>
      </w:r>
      <w:r>
        <w:rPr>
          <w:rFonts w:hint="eastAsia"/>
        </w:rPr>
        <w:t xml:space="preserve">case）纳入分析。Thirumanickam</w:t>
      </w:r>
      <w:r>
        <w:t xml:space="preserve"> </w:t>
      </w:r>
      <w:r>
        <w:rPr>
          <w:rFonts w:hint="eastAsia"/>
        </w:rPr>
        <w:t xml:space="preserve">等人（2026）的试点研究招募了</w:t>
      </w:r>
      <w:r>
        <w:t xml:space="preserve"> 11 </w:t>
      </w:r>
      <w:r>
        <w:rPr>
          <w:rFonts w:hint="eastAsia"/>
        </w:rPr>
        <w:t xml:space="preserve">名</w:t>
      </w:r>
      <w:r>
        <w:t xml:space="preserve"> 10–12 </w:t>
      </w:r>
      <w:r>
        <w:rPr>
          <w:rFonts w:hint="eastAsia"/>
        </w:rPr>
        <w:t xml:space="preserve">岁自闭症儿童，将其分为</w:t>
      </w:r>
      <w:r>
        <w:t xml:space="preserve"> 4 </w:t>
      </w:r>
      <w:r>
        <w:rPr>
          <w:rFonts w:hint="eastAsia"/>
        </w:rPr>
        <w:t xml:space="preserve">个小组（每组</w:t>
      </w:r>
      <w:r>
        <w:t xml:space="preserve"> 2–3 </w:t>
      </w:r>
      <w:r>
        <w:rPr>
          <w:rFonts w:hint="eastAsia"/>
        </w:rPr>
        <w:t xml:space="preserve">人），探索不同干预强度以及线上、线下</w:t>
      </w:r>
      <w:r>
        <w:t xml:space="preserve"> Minecraft </w:t>
      </w:r>
      <w:r>
        <w:rPr>
          <w:rFonts w:hint="eastAsia"/>
        </w:rPr>
        <w:t xml:space="preserve">活动形式对社会技能与协作表现的影响。</w:t>
      </w:r>
    </w:p>
    <w:p>
      <w:pPr>
        <w:pStyle w:val="BodyText"/>
      </w:pPr>
      <w:r>
        <w:rPr>
          <w:rFonts w:hint="eastAsia"/>
        </w:rPr>
        <w:t xml:space="preserve">该研究的结果值得高度重视：虽然不同组别出现了一些社会技能改善的趋势，但总体改善并未达到统计显著水平；家长与儿童对同伴社会能力的评价之间存在差异；线上友谊的发展亦十分有限。研究者因此强调需要谨慎解释结果，并主张未来研究应更加重视儿童、家庭以及具有相关生活经验者的共同设计（co-design）。</w:t>
      </w:r>
    </w:p>
    <w:p>
      <w:pPr>
        <w:pStyle w:val="BodyText"/>
      </w:pPr>
      <w:r>
        <w:rPr>
          <w:rFonts w:hint="eastAsia"/>
        </w:rPr>
        <w:t xml:space="preserve">这一案例之所以重要，是因为它清晰地说明了两个命题之间的断裂：有趣并不等于有效；参与度高也不等于社会沟通能力已经改善。因此在学术写作中，不应将其表述为”Minecraft</w:t>
      </w:r>
      <w:r>
        <w:t xml:space="preserve"> </w:t>
      </w:r>
      <w:r>
        <w:rPr>
          <w:rFonts w:hint="eastAsia"/>
        </w:rPr>
        <w:t xml:space="preserve">已被证明能够改善自闭症儿童的社会技能”（Minecraft</w:t>
      </w:r>
      <w:r>
        <w:t xml:space="preserve"> has been proven effective for improving social skills in autistic </w:t>
      </w:r>
      <w:r>
        <w:rPr>
          <w:rFonts w:hint="eastAsia"/>
        </w:rPr>
        <w:t xml:space="preserve">children），更严谨的表述应当是：基于</w:t>
      </w:r>
      <w:r>
        <w:t xml:space="preserve"> Minecraft </w:t>
      </w:r>
      <w:r>
        <w:rPr>
          <w:rFonts w:hint="eastAsia"/>
        </w:rPr>
        <w:t xml:space="preserve">的干预在创造社会协作机会方面显示出潜力，但目前证据仍处于初步与异质阶段（Minecraft-based</w:t>
      </w:r>
      <w:r>
        <w:t xml:space="preserve"> interventions show potential for creating opportunities for social collaboration, but current evidence remains preliminary and </w:t>
      </w:r>
      <w:r>
        <w:rPr>
          <w:rFonts w:hint="eastAsia"/>
        </w:rPr>
        <w:t xml:space="preserve">heterogeneous）。</w:t>
      </w:r>
    </w:p>
    <w:p>
      <w:pPr>
        <w:pStyle w:val="BodyText"/>
      </w:pPr>
      <w:r>
        <w:rPr>
          <w:rFonts w:hint="eastAsia"/>
        </w:rPr>
        <w:t xml:space="preserve">限制性案例在论证结构上具有特殊价值：它不是对”沙盒有效”这一命题的反驳材料，而是对”沙盒在什么条件下可能有效、目前证据能支撑到什么程度”这一问题的边界标定。将其纳入分析，反而能够提升整篇论文的学术可信度。</w:t>
      </w:r>
    </w:p>
    <w:p>
      <w:pPr>
        <w:pStyle w:val="BodyText"/>
      </w:pPr>
      <w:r>
        <w:rPr>
          <w:rFonts w:hint="eastAsia"/>
          <w:b/>
          <w:bCs/>
        </w:rPr>
        <w:t xml:space="preserve">表</w:t>
      </w:r>
      <w:r>
        <w:rPr>
          <w:b/>
          <w:bCs/>
        </w:rPr>
        <w:t xml:space="preserve"> 2</w:t>
      </w:r>
    </w:p>
    <w:p>
      <w:pPr>
        <w:pStyle w:val="BodyText"/>
      </w:pPr>
      <w:r>
        <w:rPr>
          <w:rFonts w:hint="eastAsia"/>
          <w:i/>
          <w:iCs/>
        </w:rPr>
        <w:t xml:space="preserve">国际案例的范式归属、设计特征与可支撑的推论强度</w:t>
      </w:r>
    </w:p>
    <w:tbl>
      <w:tblPr>
        <w:tblStyle w:val="Table"/>
        <w:tblW w:type="pct" w:w="5000"/>
        <w:tblLayout w:type="fixed"/>
        <w:tblLook w:firstRow="1" w:lastRow="0" w:firstColumn="0" w:lastColumn="0" w:noHBand="0" w:noVBand="0" w:val="0020"/>
      </w:tblPr>
      <w:tblGrid>
        <w:gridCol w:w="1777"/>
        <w:gridCol w:w="1454"/>
        <w:gridCol w:w="2262"/>
        <w:gridCol w:w="2424"/>
      </w:tblGrid>
      <w:tr>
        <w:trPr>
          <w:tblHeader w:val="on"/>
        </w:trPr>
        <w:tc>
          <w:tcPr/>
          <w:p>
            <w:pPr>
              <w:pStyle w:val="Compact"/>
            </w:pPr>
            <w:r>
              <w:rPr>
                <w:rFonts w:hint="eastAsia"/>
              </w:rPr>
              <w:t xml:space="preserve">案例／研究</w:t>
            </w:r>
          </w:p>
        </w:tc>
        <w:tc>
          <w:tcPr/>
          <w:p>
            <w:pPr>
              <w:pStyle w:val="Compact"/>
            </w:pPr>
            <w:r>
              <w:rPr>
                <w:rFonts w:hint="eastAsia"/>
              </w:rPr>
              <w:t xml:space="preserve">范式归属</w:t>
            </w:r>
          </w:p>
        </w:tc>
        <w:tc>
          <w:tcPr/>
          <w:p>
            <w:pPr>
              <w:pStyle w:val="Compact"/>
            </w:pPr>
            <w:r>
              <w:rPr>
                <w:rFonts w:hint="eastAsia"/>
              </w:rPr>
              <w:t xml:space="preserve">设计与主要发现</w:t>
            </w:r>
          </w:p>
        </w:tc>
        <w:tc>
          <w:tcPr/>
          <w:p>
            <w:pPr>
              <w:pStyle w:val="Compact"/>
            </w:pPr>
            <w:r>
              <w:rPr>
                <w:rFonts w:hint="eastAsia"/>
              </w:rPr>
              <w:t xml:space="preserve">可支撑的推论强度</w:t>
            </w:r>
          </w:p>
        </w:tc>
      </w:tr>
      <w:tr>
        <w:tc>
          <w:tcPr/>
          <w:p>
            <w:pPr>
              <w:pStyle w:val="Compact"/>
            </w:pPr>
            <w:r>
              <w:t xml:space="preserve">PLAY </w:t>
            </w:r>
            <w:r>
              <w:rPr>
                <w:rFonts w:hint="eastAsia"/>
              </w:rPr>
              <w:t xml:space="preserve">Project（美国）</w:t>
            </w:r>
          </w:p>
        </w:tc>
        <w:tc>
          <w:tcPr/>
          <w:p>
            <w:pPr>
              <w:pStyle w:val="Compact"/>
            </w:pPr>
            <w:r>
              <w:rPr>
                <w:rFonts w:hint="eastAsia"/>
              </w:rPr>
              <w:t xml:space="preserve">自然情境、家长中介</w:t>
            </w:r>
          </w:p>
        </w:tc>
        <w:tc>
          <w:tcPr/>
          <w:p>
            <w:pPr>
              <w:pStyle w:val="Compact"/>
            </w:pPr>
            <w:r>
              <w:rPr>
                <w:rFonts w:hint="eastAsia"/>
              </w:rPr>
              <w:t xml:space="preserve">随机对照研究，128</w:t>
            </w:r>
            <w:r>
              <w:t xml:space="preserve"> </w:t>
            </w:r>
            <w:r>
              <w:rPr>
                <w:rFonts w:hint="eastAsia"/>
              </w:rPr>
              <w:t xml:space="preserve">名</w:t>
            </w:r>
            <w:r>
              <w:t xml:space="preserve"> 2–5 </w:t>
            </w:r>
            <w:r>
              <w:rPr>
                <w:rFonts w:hint="eastAsia"/>
              </w:rPr>
              <w:t xml:space="preserve">岁儿童，约</w:t>
            </w:r>
            <w:r>
              <w:t xml:space="preserve"> 12 </w:t>
            </w:r>
            <w:r>
              <w:rPr>
                <w:rFonts w:hint="eastAsia"/>
              </w:rPr>
              <w:t xml:space="preserve">个月家庭咨询；亲子互动质量改善</w:t>
            </w:r>
          </w:p>
        </w:tc>
        <w:tc>
          <w:tcPr/>
          <w:p>
            <w:pPr>
              <w:pStyle w:val="Compact"/>
            </w:pPr>
            <w:r>
              <w:rPr>
                <w:rFonts w:hint="eastAsia"/>
              </w:rPr>
              <w:t xml:space="preserve">强：成人中介要素的作用；不可外推至沙盒疗效</w:t>
            </w:r>
          </w:p>
        </w:tc>
      </w:tr>
      <w:tr>
        <w:tc>
          <w:tcPr/>
          <w:p>
            <w:pPr>
              <w:pStyle w:val="Compact"/>
            </w:pPr>
            <w:r>
              <w:rPr>
                <w:rFonts w:hint="eastAsia"/>
              </w:rPr>
              <w:t xml:space="preserve">JASPER（美国）</w:t>
            </w:r>
          </w:p>
        </w:tc>
        <w:tc>
          <w:tcPr/>
          <w:p>
            <w:pPr>
              <w:pStyle w:val="Compact"/>
            </w:pPr>
            <w:r>
              <w:rPr>
                <w:rFonts w:hint="eastAsia"/>
              </w:rPr>
              <w:t xml:space="preserve">自然情境发展行为干预</w:t>
            </w:r>
          </w:p>
        </w:tc>
        <w:tc>
          <w:tcPr/>
          <w:p>
            <w:pPr>
              <w:pStyle w:val="Compact"/>
            </w:pPr>
            <w:r>
              <w:rPr>
                <w:rFonts w:hint="eastAsia"/>
              </w:rPr>
              <w:t xml:space="preserve">随机对照先导研究，最低限度口语儿童；游戏多样性提升，课堂迁移信号</w:t>
            </w:r>
          </w:p>
        </w:tc>
        <w:tc>
          <w:tcPr/>
          <w:p>
            <w:pPr>
              <w:pStyle w:val="Compact"/>
            </w:pPr>
            <w:r>
              <w:rPr>
                <w:rFonts w:hint="eastAsia"/>
              </w:rPr>
              <w:t xml:space="preserve">中至强：共同注意与象征性游戏的载体价值</w:t>
            </w:r>
          </w:p>
        </w:tc>
      </w:tr>
      <w:tr>
        <w:tc>
          <w:tcPr/>
          <w:p>
            <w:pPr>
              <w:pStyle w:val="Compact"/>
            </w:pPr>
            <w:r>
              <w:t xml:space="preserve">Social </w:t>
            </w:r>
            <w:r>
              <w:rPr>
                <w:rFonts w:hint="eastAsia"/>
              </w:rPr>
              <w:t xml:space="preserve">Craft（英国／爱尔兰）</w:t>
            </w:r>
          </w:p>
        </w:tc>
        <w:tc>
          <w:tcPr/>
          <w:p>
            <w:pPr>
              <w:pStyle w:val="Compact"/>
            </w:pPr>
            <w:r>
              <w:rPr>
                <w:rFonts w:hint="eastAsia"/>
              </w:rPr>
              <w:t xml:space="preserve">数字沙盒游戏</w:t>
            </w:r>
          </w:p>
        </w:tc>
        <w:tc>
          <w:tcPr/>
          <w:p>
            <w:pPr>
              <w:pStyle w:val="Compact"/>
            </w:pPr>
            <w:r>
              <w:rPr>
                <w:rFonts w:hint="eastAsia"/>
              </w:rPr>
              <w:t xml:space="preserve">框架性研究；提出同时测量游戏内与游戏外表现</w:t>
            </w:r>
          </w:p>
        </w:tc>
        <w:tc>
          <w:tcPr/>
          <w:p>
            <w:pPr>
              <w:pStyle w:val="Compact"/>
            </w:pPr>
            <w:r>
              <w:rPr>
                <w:rFonts w:hint="eastAsia"/>
              </w:rPr>
              <w:t xml:space="preserve">弱至中：潜力与泛化问题的研究议程</w:t>
            </w:r>
          </w:p>
        </w:tc>
      </w:tr>
      <w:tr>
        <w:tc>
          <w:tcPr/>
          <w:p>
            <w:pPr>
              <w:pStyle w:val="Compact"/>
            </w:pPr>
            <w:r>
              <w:rPr>
                <w:rFonts w:hint="eastAsia"/>
              </w:rPr>
              <w:t xml:space="preserve">虚拟社会沙盒（美国）</w:t>
            </w:r>
          </w:p>
        </w:tc>
        <w:tc>
          <w:tcPr/>
          <w:p>
            <w:pPr>
              <w:pStyle w:val="Compact"/>
            </w:pPr>
            <w:r>
              <w:rPr>
                <w:rFonts w:hint="eastAsia"/>
              </w:rPr>
              <w:t xml:space="preserve">虚拟现实社会情境</w:t>
            </w:r>
          </w:p>
        </w:tc>
        <w:tc>
          <w:tcPr/>
          <w:p>
            <w:pPr>
              <w:pStyle w:val="Compact"/>
            </w:pPr>
            <w:r>
              <w:rPr>
                <w:rFonts w:hint="eastAsia"/>
              </w:rPr>
              <w:t xml:space="preserve">设计与部署研究；家庭场景可行性为重点</w:t>
            </w:r>
          </w:p>
        </w:tc>
        <w:tc>
          <w:tcPr/>
          <w:p>
            <w:pPr>
              <w:pStyle w:val="Compact"/>
            </w:pPr>
            <w:r>
              <w:rPr>
                <w:rFonts w:hint="eastAsia"/>
              </w:rPr>
              <w:t xml:space="preserve">弱至中：技术可行性与设计原则</w:t>
            </w:r>
          </w:p>
        </w:tc>
      </w:tr>
      <w:tr>
        <w:tc>
          <w:tcPr/>
          <w:p>
            <w:pPr>
              <w:pStyle w:val="Compact"/>
            </w:pPr>
            <w:r>
              <w:t xml:space="preserve">Minecraft </w:t>
            </w:r>
            <w:r>
              <w:rPr>
                <w:rFonts w:hint="eastAsia"/>
              </w:rPr>
              <w:t xml:space="preserve">协作试点（澳大利亚）</w:t>
            </w:r>
          </w:p>
        </w:tc>
        <w:tc>
          <w:tcPr/>
          <w:p>
            <w:pPr>
              <w:pStyle w:val="Compact"/>
            </w:pPr>
            <w:r>
              <w:rPr>
                <w:rFonts w:hint="eastAsia"/>
              </w:rPr>
              <w:t xml:space="preserve">数字沙盒游戏</w:t>
            </w:r>
          </w:p>
        </w:tc>
        <w:tc>
          <w:tcPr/>
          <w:p>
            <w:pPr>
              <w:pStyle w:val="Compact"/>
            </w:pPr>
            <w:r>
              <w:rPr>
                <w:rFonts w:hint="eastAsia"/>
              </w:rPr>
              <w:t xml:space="preserve">试点研究，11</w:t>
            </w:r>
            <w:r>
              <w:t xml:space="preserve"> </w:t>
            </w:r>
            <w:r>
              <w:rPr>
                <w:rFonts w:hint="eastAsia"/>
              </w:rPr>
              <w:t xml:space="preserve">名</w:t>
            </w:r>
            <w:r>
              <w:t xml:space="preserve"> 10–12 </w:t>
            </w:r>
            <w:r>
              <w:rPr>
                <w:rFonts w:hint="eastAsia"/>
              </w:rPr>
              <w:t xml:space="preserve">岁儿童，分</w:t>
            </w:r>
            <w:r>
              <w:t xml:space="preserve"> 4 </w:t>
            </w:r>
            <w:r>
              <w:rPr>
                <w:rFonts w:hint="eastAsia"/>
              </w:rPr>
              <w:t xml:space="preserve">组；改善趋势未达统计显著，线上友谊有限</w:t>
            </w:r>
          </w:p>
        </w:tc>
        <w:tc>
          <w:tcPr/>
          <w:p>
            <w:pPr>
              <w:pStyle w:val="Compact"/>
            </w:pPr>
            <w:r>
              <w:rPr>
                <w:rFonts w:hint="eastAsia"/>
              </w:rPr>
              <w:t xml:space="preserve">弱：仅支持”潜力与局限”的边界性结论</w:t>
            </w:r>
          </w:p>
        </w:tc>
      </w:tr>
    </w:tbl>
    <w:bookmarkEnd w:id="33"/>
    <w:bookmarkEnd w:id="34"/>
    <w:bookmarkStart w:id="40" w:name="实践路径五阶段沙盒沟通干预模型"/>
    <w:p>
      <w:pPr>
        <w:pStyle w:val="Heading2"/>
      </w:pPr>
      <w:r>
        <w:rPr>
          <w:rFonts w:hint="eastAsia"/>
        </w:rPr>
        <w:t xml:space="preserve">实践路径：五阶段沙盒沟通干预模型</w:t>
      </w:r>
    </w:p>
    <w:p>
      <w:pPr>
        <w:pStyle w:val="FirstParagraph"/>
      </w:pPr>
      <w:r>
        <w:rPr>
          <w:rFonts w:hint="eastAsia"/>
        </w:rPr>
        <w:t xml:space="preserve">综合上述案例与机制分析，本文提出一个五阶段实践模型。该模型的目的不是规定一套固定流程，而是提供一套可被分解、可被检验的实施逻辑。</w:t>
      </w:r>
    </w:p>
    <w:bookmarkStart w:id="35" w:name="第一阶段儿童选择"/>
    <w:p>
      <w:pPr>
        <w:pStyle w:val="Heading3"/>
      </w:pPr>
      <w:r>
        <w:rPr>
          <w:rFonts w:hint="eastAsia"/>
        </w:rPr>
        <w:t xml:space="preserve">第一阶段：儿童选择</w:t>
      </w:r>
    </w:p>
    <w:p>
      <w:pPr>
        <w:pStyle w:val="FirstParagraph"/>
      </w:pPr>
      <w:r>
        <w:rPr>
          <w:rFonts w:hint="eastAsia"/>
        </w:rPr>
        <w:t xml:space="preserve">由儿童决定建造什么、使用什么材料、与谁互动以及如何完成任务。此阶段的核心原则是儿童主体性（child</w:t>
      </w:r>
      <w:r>
        <w:t xml:space="preserve"> </w:t>
      </w:r>
      <w:r>
        <w:rPr>
          <w:rFonts w:hint="eastAsia"/>
        </w:rPr>
        <w:t xml:space="preserve">agency）：只有当目标由儿童自己确立，后续的沟通需求才可能由儿童自己发起。</w:t>
      </w:r>
    </w:p>
    <w:bookmarkEnd w:id="35"/>
    <w:bookmarkStart w:id="36" w:name="第二阶段成人跟随"/>
    <w:p>
      <w:pPr>
        <w:pStyle w:val="Heading3"/>
      </w:pPr>
      <w:r>
        <w:rPr>
          <w:rFonts w:hint="eastAsia"/>
        </w:rPr>
        <w:t xml:space="preserve">第二阶段：成人跟随</w:t>
      </w:r>
    </w:p>
    <w:p>
      <w:pPr>
        <w:pStyle w:val="FirstParagraph"/>
      </w:pPr>
      <w:r>
        <w:rPr>
          <w:rFonts w:hint="eastAsia"/>
        </w:rPr>
        <w:t xml:space="preserve">成人观察儿童的兴趣而非立即控制游戏，运用模仿（imitation）、平行游戏（parallel</w:t>
      </w:r>
      <w:r>
        <w:t xml:space="preserve"> </w:t>
      </w:r>
      <w:r>
        <w:rPr>
          <w:rFonts w:hint="eastAsia"/>
        </w:rPr>
        <w:t xml:space="preserve">play）、平行谈话（parallel</w:t>
      </w:r>
      <w:r>
        <w:t xml:space="preserve"> </w:t>
      </w:r>
      <w:r>
        <w:rPr>
          <w:rFonts w:hint="eastAsia"/>
        </w:rPr>
        <w:t xml:space="preserve">talk）与回应式互动（responsive</w:t>
      </w:r>
      <w:r>
        <w:t xml:space="preserve"> </w:t>
      </w:r>
      <w:r>
        <w:rPr>
          <w:rFonts w:hint="eastAsia"/>
        </w:rPr>
        <w:t xml:space="preserve">interaction）等策略进入儿童的活动，并在此基础上有意识地创造共同注意机会。</w:t>
      </w:r>
    </w:p>
    <w:bookmarkEnd w:id="36"/>
    <w:bookmarkStart w:id="37" w:name="第三阶段创造沟通障碍"/>
    <w:p>
      <w:pPr>
        <w:pStyle w:val="Heading3"/>
      </w:pPr>
      <w:r>
        <w:rPr>
          <w:rFonts w:hint="eastAsia"/>
        </w:rPr>
        <w:t xml:space="preserve">第三阶段：创造沟通障碍</w:t>
      </w:r>
    </w:p>
    <w:p>
      <w:pPr>
        <w:pStyle w:val="FirstParagraph"/>
      </w:pPr>
      <w:r>
        <w:rPr>
          <w:rFonts w:hint="eastAsia"/>
        </w:rPr>
        <w:t xml:space="preserve">此处的”障碍”不是人为设置的考试，而是在游戏中自然形成的真实需求，例如材料不足、需要协助、轮流使用工具、必须共同完成建筑等。设计要点在于障碍必须与儿童当前目标相关，且难度位于儿童的最近发展区内。</w:t>
      </w:r>
    </w:p>
    <w:bookmarkEnd w:id="37"/>
    <w:bookmarkStart w:id="38" w:name="第四阶段aac-与多通道语言支持"/>
    <w:p>
      <w:pPr>
        <w:pStyle w:val="Heading3"/>
      </w:pPr>
      <w:r>
        <w:rPr>
          <w:rFonts w:hint="eastAsia"/>
        </w:rPr>
        <w:t xml:space="preserve">第四阶段：AAC</w:t>
      </w:r>
      <w:r>
        <w:t xml:space="preserve"> </w:t>
      </w:r>
      <w:r>
        <w:rPr>
          <w:rFonts w:hint="eastAsia"/>
        </w:rPr>
        <w:t xml:space="preserve">与多通道语言支持</w:t>
      </w:r>
    </w:p>
    <w:p>
      <w:pPr>
        <w:pStyle w:val="FirstParagraph"/>
      </w:pPr>
      <w:r>
        <w:rPr>
          <w:rFonts w:hint="eastAsia"/>
        </w:rPr>
        <w:t xml:space="preserve">当儿童出现沟通需求时，按其当前能力提供从手势、图片、AAC</w:t>
      </w:r>
      <w:r>
        <w:t xml:space="preserve"> </w:t>
      </w:r>
      <w:r>
        <w:rPr>
          <w:rFonts w:hint="eastAsia"/>
        </w:rPr>
        <w:t xml:space="preserve">设备到口语的多通道表达支持，并由成人进行语言示范与扩展。该阶段的评价标准不是儿童使用了哪一种通道，而是儿童是否成功实现了沟通功能。</w:t>
      </w:r>
    </w:p>
    <w:bookmarkEnd w:id="38"/>
    <w:bookmarkStart w:id="39" w:name="第五阶段现实世界迁移"/>
    <w:p>
      <w:pPr>
        <w:pStyle w:val="Heading3"/>
      </w:pPr>
      <w:r>
        <w:rPr>
          <w:rFonts w:hint="eastAsia"/>
        </w:rPr>
        <w:t xml:space="preserve">第五阶段：现实世界迁移</w:t>
      </w:r>
    </w:p>
    <w:p>
      <w:pPr>
        <w:pStyle w:val="FirstParagraph"/>
      </w:pPr>
      <w:r>
        <w:rPr>
          <w:rFonts w:hint="eastAsia"/>
        </w:rPr>
        <w:t xml:space="preserve">这是整个模型中最关键也最容易被省略的一步。建议的迁移链条为：数字沙盒</w:t>
      </w:r>
      <w:r>
        <w:t xml:space="preserve"> → </w:t>
      </w:r>
      <w:r>
        <w:rPr>
          <w:rFonts w:hint="eastAsia"/>
        </w:rPr>
        <w:t xml:space="preserve">实体建构</w:t>
      </w:r>
      <w:r>
        <w:t xml:space="preserve"> → </w:t>
      </w:r>
      <w:r>
        <w:rPr>
          <w:rFonts w:hint="eastAsia"/>
        </w:rPr>
        <w:t xml:space="preserve">教室小组活动</w:t>
      </w:r>
      <w:r>
        <w:t xml:space="preserve"> → </w:t>
      </w:r>
      <w:r>
        <w:rPr>
          <w:rFonts w:hint="eastAsia"/>
        </w:rPr>
        <w:t xml:space="preserve">同伴游戏</w:t>
      </w:r>
      <w:r>
        <w:t xml:space="preserve"> → </w:t>
      </w:r>
      <w:r>
        <w:rPr>
          <w:rFonts w:hint="eastAsia"/>
        </w:rPr>
        <w:t xml:space="preserve">家庭与社区情境。若缺少这一阶段，干预极易停留在”游戏内部成功”的层面，而无法转化为儿童真实生活中的沟通能力。</w:t>
      </w:r>
    </w:p>
    <w:bookmarkEnd w:id="39"/>
    <w:bookmarkEnd w:id="40"/>
    <w:bookmarkStart w:id="41" w:name="证据局限与偏倚风险"/>
    <w:p>
      <w:pPr>
        <w:pStyle w:val="Heading2"/>
      </w:pPr>
      <w:r>
        <w:rPr>
          <w:rFonts w:hint="eastAsia"/>
        </w:rPr>
        <w:t xml:space="preserve">证据局限与偏倚风险</w:t>
      </w:r>
    </w:p>
    <w:p>
      <w:pPr>
        <w:pStyle w:val="FirstParagraph"/>
      </w:pPr>
      <w:r>
        <w:rPr>
          <w:rFonts w:hint="eastAsia"/>
        </w:rPr>
        <w:t xml:space="preserve">尽管沙盒具有显著的理论潜力，但现有证据并不支持将其描述为一种已经成熟的独立治疗方法。本文归纳五类主要局限。</w:t>
      </w:r>
    </w:p>
    <w:p>
      <w:pPr>
        <w:pStyle w:val="BodyText"/>
      </w:pPr>
      <w:r>
        <w:rPr>
          <w:rFonts w:hint="eastAsia"/>
        </w:rPr>
        <w:t xml:space="preserve">其一，研究数量有限。直接以</w:t>
      </w:r>
      <w:r>
        <w:t xml:space="preserve"> Minecraft </w:t>
      </w:r>
      <w:r>
        <w:rPr>
          <w:rFonts w:hint="eastAsia"/>
        </w:rPr>
        <w:t xml:space="preserve">或其他数字沙盒为主要干预工具、以</w:t>
      </w:r>
      <w:r>
        <w:t xml:space="preserve"> ASD </w:t>
      </w:r>
      <w:r>
        <w:rPr>
          <w:rFonts w:hint="eastAsia"/>
        </w:rPr>
        <w:t xml:space="preserve">儿童为对象并采用随机对照设计的研究仍然较少，多数证据来自可行性研究或前后测设计。其二，样本量普遍偏小。例如前述澳大利亚试点研究仅纳入</w:t>
      </w:r>
      <w:r>
        <w:t xml:space="preserve"> 11 </w:t>
      </w:r>
      <w:r>
        <w:rPr>
          <w:rFonts w:hint="eastAsia"/>
        </w:rPr>
        <w:t xml:space="preserve">名儿童（Thirumanickam</w:t>
      </w:r>
      <w:r>
        <w:t xml:space="preserve"> et al., </w:t>
      </w:r>
      <w:r>
        <w:rPr>
          <w:rFonts w:hint="eastAsia"/>
        </w:rPr>
        <w:t xml:space="preserve">2026），统计效力明显不足，阴性结果既可能反映真实无效，也可能反映样本不足。其三，泛化问题突出。Minecraft</w:t>
      </w:r>
      <w:r>
        <w:t xml:space="preserve"> </w:t>
      </w:r>
      <w:r>
        <w:rPr>
          <w:rFonts w:hint="eastAsia"/>
        </w:rPr>
        <w:t xml:space="preserve">中的社会规则与真实社会环境存在系统性差异，现实生活中的眼神、身体距离、声音、触觉与不可预测事件在数字环境中均被不同程度地削弱。</w:t>
      </w:r>
    </w:p>
    <w:p>
      <w:pPr>
        <w:pStyle w:val="BodyText"/>
      </w:pPr>
      <w:r>
        <w:rPr>
          <w:rFonts w:hint="eastAsia"/>
        </w:rPr>
        <w:t xml:space="preserve">其四，游戏兴趣与治疗效果存在混淆风险。儿童喜欢</w:t>
      </w:r>
      <w:r>
        <w:t xml:space="preserve"> Minecraft </w:t>
      </w:r>
      <w:r>
        <w:rPr>
          <w:rFonts w:hint="eastAsia"/>
        </w:rPr>
        <w:t xml:space="preserve">并不等于其社会沟通能力有所改善；高参与度、高满意度等过程指标不应被当作结局指标使用。其五，数字环境带来伦理议题，包括屏幕使用时间、网络安全、儿童数据隐私、游戏依赖、虚拟社交关系的性质以及成人监控的边界。技术使用必须服从特殊教育目标，而不能让教育目标反过来服从技术。</w:t>
      </w:r>
    </w:p>
    <w:bookmarkEnd w:id="41"/>
    <w:bookmarkStart w:id="42" w:name="未来研究方向"/>
    <w:p>
      <w:pPr>
        <w:pStyle w:val="Heading2"/>
      </w:pPr>
      <w:r>
        <w:rPr>
          <w:rFonts w:hint="eastAsia"/>
        </w:rPr>
        <w:t xml:space="preserve">未来研究方向</w:t>
      </w:r>
    </w:p>
    <w:p>
      <w:pPr>
        <w:pStyle w:val="FirstParagraph"/>
      </w:pPr>
      <w:r>
        <w:rPr>
          <w:rFonts w:hint="eastAsia"/>
        </w:rPr>
        <w:t xml:space="preserve">基于上述分析，未来研究可在四个方向上推进。第一，开展范式内而非跨范式的随机对照研究：分别检验实体沙盘、数字沙盒与</w:t>
      </w:r>
      <w:r>
        <w:t xml:space="preserve"> VR </w:t>
      </w:r>
      <w:r>
        <w:rPr>
          <w:rFonts w:hint="eastAsia"/>
        </w:rPr>
        <w:t xml:space="preserve">社会沙盒各自的效果，并明确其活性成分，避免将不同范式的证据混同汇总。第二，将泛化测量前置于研究设计：同时设置游戏内、近迁移（实体建构、课堂合作）与远迁移（操场同伴互动）三层结局指标，并报告迁移的衰减梯度。</w:t>
      </w:r>
    </w:p>
    <w:p>
      <w:pPr>
        <w:pStyle w:val="BodyText"/>
      </w:pPr>
      <w:r>
        <w:rPr>
          <w:rFonts w:hint="eastAsia"/>
        </w:rPr>
        <w:t xml:space="preserve">第三，采用要素拆解设计：通过析因或</w:t>
      </w:r>
      <w:r>
        <w:t xml:space="preserve"> dismantling </w:t>
      </w:r>
      <w:r>
        <w:rPr>
          <w:rFonts w:hint="eastAsia"/>
        </w:rPr>
        <w:t xml:space="preserve">设计分别检验</w:t>
      </w:r>
      <w:r>
        <w:t xml:space="preserve"> </w:t>
      </w:r>
      <w:r>
        <w:rPr>
          <w:rFonts w:hint="eastAsia"/>
        </w:rPr>
        <w:t xml:space="preserve">AAC、成人示范、同伴配置与迁移支架的独立贡献，从而把”沙盒有效吗”这一笼统问题转化为”哪些要素在何种条件下有效”。第四，引入共同设计与报告规范：如澳大利亚试点研究所建议的，让儿童、家庭与具有相关生活经验者参与研究设计；同时预注册研究方案、完整报告阴性结果，以缓解发表偏倚（Sandbank</w:t>
      </w:r>
      <w:r>
        <w:t xml:space="preserve"> et al., </w:t>
      </w:r>
      <w:r>
        <w:rPr>
          <w:rFonts w:hint="eastAsia"/>
        </w:rPr>
        <w:t xml:space="preserve">2020）。</w:t>
      </w:r>
    </w:p>
    <w:bookmarkEnd w:id="42"/>
    <w:bookmarkStart w:id="43" w:name="结论"/>
    <w:p>
      <w:pPr>
        <w:pStyle w:val="Heading2"/>
      </w:pPr>
      <w:r>
        <w:rPr>
          <w:rFonts w:hint="eastAsia"/>
        </w:rPr>
        <w:t xml:space="preserve">结论</w:t>
      </w:r>
    </w:p>
    <w:p>
      <w:pPr>
        <w:pStyle w:val="FirstParagraph"/>
      </w:pPr>
      <w:r>
        <w:rPr>
          <w:rFonts w:hint="eastAsia"/>
        </w:rPr>
        <w:t xml:space="preserve">综合国际研究可以认为，沙盒游戏在</w:t>
      </w:r>
      <w:r>
        <w:t xml:space="preserve"> ASD </w:t>
      </w:r>
      <w:r>
        <w:rPr>
          <w:rFonts w:hint="eastAsia"/>
        </w:rPr>
        <w:t xml:space="preserve">儿童沟通干预中具有一定的理论与实践潜力，但目前不宜被描述为已经获得充分验证的独立治疗方法。其真正的价值更可能来自多个循证干预原则的组合：儿童主动性、游戏动机、AAC、成人示范、同伴互动、自然情境、功能性目标与跨环境迁移。</w:t>
      </w:r>
    </w:p>
    <w:p>
      <w:pPr>
        <w:pStyle w:val="BodyText"/>
      </w:pPr>
      <w:r>
        <w:rPr>
          <w:rFonts w:hint="eastAsia"/>
        </w:rPr>
        <w:t xml:space="preserve">在这一框架下，各类国际证据各司其职：PLAY</w:t>
      </w:r>
      <w:r>
        <w:t xml:space="preserve"> Project </w:t>
      </w:r>
      <w:r>
        <w:rPr>
          <w:rFonts w:hint="eastAsia"/>
        </w:rPr>
        <w:t xml:space="preserve">说明了成人与家长在自然互动中的中介作用；JASPER</w:t>
      </w:r>
      <w:r>
        <w:t xml:space="preserve"> </w:t>
      </w:r>
      <w:r>
        <w:rPr>
          <w:rFonts w:hint="eastAsia"/>
        </w:rPr>
        <w:t xml:space="preserve">研究说明了游戏、共同注意与社会参与之间的关系；Social</w:t>
      </w:r>
      <w:r>
        <w:t xml:space="preserve"> Craft </w:t>
      </w:r>
      <w:r>
        <w:rPr>
          <w:rFonts w:hint="eastAsia"/>
        </w:rPr>
        <w:t xml:space="preserve">框架提出了泛化测量的必要议程；虚拟社会沙盒研究探索了数字与</w:t>
      </w:r>
      <w:r>
        <w:t xml:space="preserve"> VR </w:t>
      </w:r>
      <w:r>
        <w:rPr>
          <w:rFonts w:hint="eastAsia"/>
        </w:rPr>
        <w:t xml:space="preserve">环境作为社会学习空间的可行性；而澳大利亚的</w:t>
      </w:r>
      <w:r>
        <w:t xml:space="preserve"> Minecraft </w:t>
      </w:r>
      <w:r>
        <w:rPr>
          <w:rFonts w:hint="eastAsia"/>
        </w:rPr>
        <w:t xml:space="preserve">试点研究则提醒学界，目前的证据仍需要更严格的随机对照设计与长期追踪，且阴性结果本身就构成重要的知识贡献。</w:t>
      </w:r>
    </w:p>
    <w:p>
      <w:pPr>
        <w:pStyle w:val="BodyText"/>
      </w:pPr>
      <w:r>
        <w:rPr>
          <w:rFonts w:hint="eastAsia"/>
        </w:rPr>
        <w:t xml:space="preserve">因此，未来沙盒沟通干预的发展重点，不应是追求”更真实的虚拟世界”，而应是创造”更真实的沟通机会”。技术最终应当帮助儿童走出屏幕、走出治疗室，进入真实的人际关系。从这个意义上看，沙盒干预最理想的发展方向不是”儿童</w:t>
      </w:r>
      <w:r>
        <w:t xml:space="preserve"> + </w:t>
      </w:r>
      <w:r>
        <w:rPr>
          <w:rFonts w:hint="eastAsia"/>
        </w:rPr>
        <w:t xml:space="preserve">技术”，而是”儿童</w:t>
      </w:r>
      <w:r>
        <w:t xml:space="preserve"> + </w:t>
      </w:r>
      <w:r>
        <w:rPr>
          <w:rFonts w:hint="eastAsia"/>
        </w:rPr>
        <w:t xml:space="preserve">技术</w:t>
      </w:r>
      <w:r>
        <w:t xml:space="preserve"> + </w:t>
      </w:r>
      <w:r>
        <w:rPr>
          <w:rFonts w:hint="eastAsia"/>
        </w:rPr>
        <w:t xml:space="preserve">成人</w:t>
      </w:r>
      <w:r>
        <w:t xml:space="preserve"> + </w:t>
      </w:r>
      <w:r>
        <w:rPr>
          <w:rFonts w:hint="eastAsia"/>
        </w:rPr>
        <w:t xml:space="preserve">同伴</w:t>
      </w:r>
      <w:r>
        <w:t xml:space="preserve"> + </w:t>
      </w:r>
      <w:r>
        <w:rPr>
          <w:rFonts w:hint="eastAsia"/>
        </w:rPr>
        <w:t xml:space="preserve">真实世界沟通”。沙盒不是沟通的终点，而可以成为儿童走向真实社会互动的一座桥梁。</w:t>
      </w:r>
    </w:p>
    <w:p>
      <w:r>
        <w:pict>
          <v:rect style="width:0;height:1.5pt" o:hralign="center" o:hrstd="t" o:hr="t"/>
        </w:pict>
      </w:r>
    </w:p>
    <w:bookmarkEnd w:id="43"/>
    <w:bookmarkStart w:id="44" w:name="参考文献"/>
    <w:p>
      <w:pPr>
        <w:pStyle w:val="Heading2"/>
      </w:pPr>
      <w:r>
        <w:rPr>
          <w:rFonts w:hint="eastAsia"/>
        </w:rPr>
        <w:t xml:space="preserve">参考文献</w:t>
      </w:r>
    </w:p>
    <w:p>
      <w:pPr>
        <w:pStyle w:val="FirstParagraph"/>
      </w:pPr>
      <w:r>
        <w:t xml:space="preserve">Cadieux, L., &amp; Keenan, M. (2020). Can social communication skills for children diagnosed with autism spectrum disorder rehearsed inside the video game environment of Minecraft generalize to the real world?</w:t>
      </w:r>
      <w:r>
        <w:t xml:space="preserve"> </w:t>
      </w:r>
      <w:r>
        <w:rPr>
          <w:i/>
          <w:iCs/>
        </w:rPr>
        <w:t xml:space="preserve">JMIR Serious Games, 8</w:t>
      </w:r>
      <w:r>
        <w:t xml:space="preserve">(2), e14369. https://doi.org/10.2196/14369</w:t>
      </w:r>
    </w:p>
    <w:p>
      <w:pPr>
        <w:pStyle w:val="BodyText"/>
      </w:pPr>
      <w:r>
        <w:t xml:space="preserve">Goods, K. S., Ishijima, E., Chang, Y.-C., &amp; Kasari, C. (2013). Preschool based JASPER intervention in minimally verbal children with autism: Pilot RCT.</w:t>
      </w:r>
      <w:r>
        <w:t xml:space="preserve"> </w:t>
      </w:r>
      <w:r>
        <w:rPr>
          <w:i/>
          <w:iCs/>
        </w:rPr>
        <w:t xml:space="preserve">Journal of Autism and Developmental Disorders, 43</w:t>
      </w:r>
      <w:r>
        <w:t xml:space="preserve">(5), 1050–1056. https://doi.org/10.1007/s10803-012-1650-4</w:t>
      </w:r>
    </w:p>
    <w:p>
      <w:pPr>
        <w:pStyle w:val="BodyText"/>
      </w:pPr>
      <w:r>
        <w:t xml:space="preserve">Kasari, C., Gulsrud, A., Paparella, T., Hellemann, G., &amp; Berry, K. (2015). Randomized comparative efficacy study of parent-mediated interventions for toddlers with autism.</w:t>
      </w:r>
      <w:r>
        <w:t xml:space="preserve"> </w:t>
      </w:r>
      <w:r>
        <w:rPr>
          <w:i/>
          <w:iCs/>
        </w:rPr>
        <w:t xml:space="preserve">Journal of Consulting and Clinical Psychology, 83</w:t>
      </w:r>
      <w:r>
        <w:t xml:space="preserve">(3), 554–563. https://doi.org/10.1037/a0038996</w:t>
      </w:r>
    </w:p>
    <w:p>
      <w:pPr>
        <w:pStyle w:val="BodyText"/>
      </w:pPr>
      <w:r>
        <w:t xml:space="preserve">Ke, F., Moon, J., &amp; Sokolikj, Z. (2023). Designing and deploying a virtual social sandbox for autistic children.</w:t>
      </w:r>
      <w:r>
        <w:t xml:space="preserve"> </w:t>
      </w:r>
      <w:r>
        <w:rPr>
          <w:i/>
          <w:iCs/>
        </w:rPr>
        <w:t xml:space="preserve">Disability and Rehabilitation: Assistive Technology, 19</w:t>
      </w:r>
      <w:r>
        <w:t xml:space="preserve">(4), 1178–1209. https://doi.org/10.1080/17483107.2022.2153789</w:t>
      </w:r>
    </w:p>
    <w:p>
      <w:pPr>
        <w:pStyle w:val="BodyText"/>
      </w:pPr>
      <w:r>
        <w:t xml:space="preserve">Sandbank, M., Bottema-Beutel, K., Crowley, S., Cassidy, M., Feldman, J. I., Canihuante, M., &amp; Woynaroski, T. (2020). Project AIM: Autism intervention meta-analysis for studies of young children.</w:t>
      </w:r>
      <w:r>
        <w:t xml:space="preserve"> </w:t>
      </w:r>
      <w:r>
        <w:rPr>
          <w:i/>
          <w:iCs/>
        </w:rPr>
        <w:t xml:space="preserve">Psychological Bulletin, 146</w:t>
      </w:r>
      <w:r>
        <w:t xml:space="preserve">(1), 1–29. https://doi.org/10.1037/bul0000215</w:t>
      </w:r>
    </w:p>
    <w:p>
      <w:pPr>
        <w:pStyle w:val="BodyText"/>
      </w:pPr>
      <w:r>
        <w:t xml:space="preserve">Schreibman, L., Dawson, G., Stahmer, A. C., Landa, R., Lord, C., Orstein, C. J., &amp; McNerney, E. (2015). Naturalistic developmental behavioral interventions: Empirically validated treatments for autism spectrum disorder.</w:t>
      </w:r>
      <w:r>
        <w:t xml:space="preserve"> </w:t>
      </w:r>
      <w:r>
        <w:rPr>
          <w:i/>
          <w:iCs/>
        </w:rPr>
        <w:t xml:space="preserve">Journal of Autism and Developmental Disorders, 45</w:t>
      </w:r>
      <w:r>
        <w:t xml:space="preserve">(8), 2411–2428. https://doi.org/10.1007/s10803-015-2407-8</w:t>
      </w:r>
    </w:p>
    <w:p>
      <w:pPr>
        <w:pStyle w:val="BodyText"/>
      </w:pPr>
      <w:r>
        <w:t xml:space="preserve">Solomon, R., Van Egeren, L. A., Mahoney, G., Quon Huber, M. S., &amp; Zimmerman, P. (2014). PLAY Project Home Consultation intervention program for young children with autism spectrum disorders: A randomized controlled trial.</w:t>
      </w:r>
      <w:r>
        <w:t xml:space="preserve"> </w:t>
      </w:r>
      <w:r>
        <w:rPr>
          <w:i/>
          <w:iCs/>
        </w:rPr>
        <w:t xml:space="preserve">Journal of Developmental &amp; Behavioral Pediatrics, 35</w:t>
      </w:r>
      <w:r>
        <w:t xml:space="preserve">(8), 475–485. https://doi.org/10.1097/DBP.0000000000000095</w:t>
      </w:r>
    </w:p>
    <w:p>
      <w:pPr>
        <w:pStyle w:val="BodyText"/>
      </w:pPr>
      <w:r>
        <w:t xml:space="preserve">Thirumanickam, A., Attrill, S., Welz, N., &amp; Hobbs, D. (2026). Enhancing social collaboration in autistic pre-teens through Minecraft™.</w:t>
      </w:r>
      <w:r>
        <w:t xml:space="preserve"> </w:t>
      </w:r>
      <w:r>
        <w:rPr>
          <w:i/>
          <w:iCs/>
        </w:rPr>
        <w:t xml:space="preserve">International Journal of Speech-Language Pathology</w:t>
      </w:r>
      <w:r>
        <w:t xml:space="preserve">. Advance online publication.</w:t>
      </w:r>
    </w:p>
    <w:bookmarkEnd w:id="44"/>
    <w:bookmarkEnd w:id="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2026-09-17T02:13:57Z</dcterms:created>
  <dcterms:modified xsi:type="dcterms:W3CDTF">2026-09-17T02:13:57Z</dcterms:modified>
</cp:coreProperties>
</file>

<file path=docProps/custom.xml><?xml version="1.0" encoding="utf-8"?>
<Properties xmlns="http://schemas.openxmlformats.org/officeDocument/2006/custom-properties" xmlns:vt="http://schemas.openxmlformats.org/officeDocument/2006/docPropsVTypes"/>
</file>