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4"/>
        <w:spacing w:lineRule="auto" w:line="288" w:before="480" w:after="480"/>
        <w:ind w:left="0" w:hanging="0"/>
        <w:rPr/>
      </w:pPr>
      <w:r>
        <w:rPr/>
      </w:r>
    </w:p>
    <w:p>
      <w:pPr>
        <w:pStyle w:val="1"/>
        <w:rPr/>
      </w:pPr>
      <w:r>
        <w:rPr/>
        <w:t>A Comparative Study on Rehabilitation</w:t>
        <w:noBreakHyphen/>
        <w:t>Education Transition Processes for Children with Special Needs in Inclusive Education: China, Malaysia, Brunei Darussalam and Singapore</w:t>
      </w:r>
    </w:p>
    <w:p>
      <w:pPr>
        <w:pStyle w:val="2"/>
        <w:rPr/>
      </w:pPr>
      <w:r>
        <w:rPr/>
        <w:t>Abstract</w:t>
      </w:r>
    </w:p>
    <w:p>
      <w:pPr>
        <w:pStyle w:val="Normal"/>
        <w:rPr/>
      </w:pPr>
      <w:r>
        <w:rPr/>
        <w:t>Inclusive</w:t>
        <w:noBreakHyphen/>
        <w:t>education metrics have long centred on school enrolment rates and in</w:t>
        <w:noBreakHyphen/>
        <w:t>school support. What truly determines service continuity, however, is whether children can receive consistent support across medical institutions, rehabilitation centres, preschools, mainstream schools, special</w:t>
        <w:noBreakHyphen/>
        <w:t>education schools and adult</w:t>
        <w:noBreakHyphen/>
        <w:t>life settings. This paper compares rehabilitation</w:t>
        <w:noBreakHyphen/>
        <w:t>education transition systems in China, Malaysia, Brunei Darussalam and Singapore along six sequential stages: identification trigger, assessment, referral, placement, information hand</w:t>
        <w:noBreakHyphen/>
        <w:t>over and follow</w:t>
        <w:noBreakHyphen/>
        <w:t>up monitoring. Analysis shows that cross</w:t>
        <w:noBreakHyphen/>
        <w:t>national differences lie not in the mere existence of transition arrangements, but in how transition nodes are institutionalised. In China, county</w:t>
        <w:noBreakHyphen/>
        <w:t>level expert committees on disability</w:t>
        <w:noBreakHyphen/>
        <w:t>inclusive education embed school</w:t>
        <w:noBreakHyphen/>
        <w:t>placement decisions within statutory multi</w:t>
        <w:noBreakHyphen/>
        <w:t>sector assessment. Singapore embeds chronological milestones into service chains through age</w:t>
        <w:noBreakHyphen/>
        <w:t>prioritised early intervention, individual transition plans and vocational curricula. Malaysia expands access via a zero</w:t>
        <w:noBreakHyphen/>
        <w:t>rejection policy and special</w:t>
        <w:noBreakHyphen/>
        <w:t>education integrated classes, while devolving placement judgements to individual schools. Brunei has established a policy framework for inclusive education and Individualised Education Plans (IEPs), yet public transparency regarding cross</w:t>
        <w:noBreakHyphen/>
        <w:t>sector procedural rules remains limited. Shared challenges across all four jurisdictions include heavy reliance on families for information transfer, under</w:t>
        <w:noBreakHyphen/>
        <w:t>developed vertical transition pathways and workforce shortages. This paper further discusses tensions between standardisation and local autonomy, and between transition efficiency and parental participation, before putting forward regional recommendations.</w:t>
      </w:r>
    </w:p>
    <w:p>
      <w:pPr>
        <w:pStyle w:val="Normal"/>
        <w:rPr/>
      </w:pPr>
      <w:r>
        <w:rPr>
          <w:b/>
          <w:bCs/>
        </w:rPr>
        <w:t>Keywords</w:t>
      </w:r>
      <w:r>
        <w:rPr/>
        <w:t>: rehabilitation</w:t>
        <w:noBreakHyphen/>
        <w:t>education transition; transition procedures; inclusive education; children with special needs; inter</w:t>
        <w:noBreakHyphen/>
        <w:t>sector collaboration; ASEAN</w:t>
      </w:r>
    </w:p>
    <w:p>
      <w:pPr>
        <w:pStyle w:val="2"/>
        <w:rPr/>
      </w:pPr>
      <w:r>
        <w:rPr/>
        <w:t>1. Introduction: From “Having a School Place” to “Receiving Continuous Support”</w:t>
      </w:r>
    </w:p>
    <w:p>
      <w:pPr>
        <w:pStyle w:val="Normal"/>
        <w:rPr/>
      </w:pPr>
      <w:r>
        <w:rPr/>
        <w:t>Admission to mainstream school marks the beginning rather than the completion of service provision. A child screened for developmental concerns at grassroots health facilities must go through rescreening, diagnosis, rehabilitation, school registration, competence assessment, placement negotiation, individualised</w:t>
        <w:noBreakHyphen/>
        <w:t>plan formulation and allocation of teacher support before receiving reasonable accommodations within general classrooms. Failure at any stage devalues prior investments: children may gain admission without receiving sustained appropriate support.</w:t>
      </w:r>
    </w:p>
    <w:p>
      <w:pPr>
        <w:pStyle w:val="Normal"/>
        <w:rPr/>
      </w:pPr>
      <w:r>
        <w:rPr/>
        <w:t>Rehabilitation</w:t>
        <w:noBreakHyphen/>
        <w:t>education transition in this study refers horizontally to transitions from medical and early</w:t>
        <w:noBreakHyphen/>
        <w:t>rehabilitation agencies to preschools and mainstream schools, and vertically to grade</w:t>
        <w:noBreakHyphen/>
        <w:t>to</w:t>
        <w:noBreakHyphen/>
        <w:t>grade progression as well as shifts from school settings towards community living, vocational pathways and adult services. The Convention on the Rights of Persons with Disabilities calls for service continuity across the life course, not merely a single successful school admission (United Nations, 2006). The World Health Organization (2022) also notes that much service inequity experienced by persons with disabilities stems from systemic fragmentation rather than impairments themselves. Comparative ASEAN research indicates that regional countries have established broad policy directions, yet capacity</w:t>
        <w:noBreakHyphen/>
        <w:t>building and resource constraints hinder real</w:t>
        <w:noBreakHyphen/>
        <w:t>world implementation (Adams et al., 2025). Nevertheless, few comparative studies focus specifically on meso</w:t>
        <w:noBreakHyphen/>
        <w:t>level transition workflows.</w:t>
      </w:r>
    </w:p>
    <w:p>
      <w:pPr>
        <w:pStyle w:val="2"/>
        <w:rPr/>
      </w:pPr>
      <w:r>
        <w:rPr/>
        <w:t>2. Analytical Framework</w:t>
      </w:r>
    </w:p>
    <w:p>
      <w:pPr>
        <w:pStyle w:val="Normal"/>
        <w:rPr/>
      </w:pPr>
      <w:r>
        <w:rPr/>
        <w:t>Transition is decomposed into six observable stages: identification trigger, assessment, referral, placement, information hand</w:t>
        <w:noBreakHyphen/>
        <w:t>over and follow</w:t>
        <w:noBreakHyphen/>
        <w:t xml:space="preserve">up monitoring. Comparison focuses not simply on whether a stage exists, but on three finer dimensions: whether responsibilities for each stage rest with </w:t>
      </w:r>
      <w:r>
        <w:rPr>
          <w:b/>
          <w:bCs/>
        </w:rPr>
        <w:t>statutory mandated bodies</w:t>
      </w:r>
      <w:r>
        <w:rPr/>
        <w:t xml:space="preserve"> or informal </w:t>
      </w:r>
      <w:r>
        <w:rPr>
          <w:b/>
          <w:bCs/>
        </w:rPr>
        <w:t>local conventions</w:t>
      </w:r>
      <w:r>
        <w:rPr/>
        <w:t>; whether record hand</w:t>
        <w:noBreakHyphen/>
        <w:t xml:space="preserve">over occurs via </w:t>
      </w:r>
      <w:r>
        <w:rPr>
          <w:b/>
          <w:bCs/>
        </w:rPr>
        <w:t>formal inter</w:t>
        <w:noBreakHyphen/>
        <w:t>institutional transmission</w:t>
      </w:r>
      <w:r>
        <w:rPr/>
        <w:t xml:space="preserve"> or relies on </w:t>
      </w:r>
      <w:r>
        <w:rPr>
          <w:b/>
          <w:bCs/>
        </w:rPr>
        <w:t>parents carrying documents manually</w:t>
      </w:r>
      <w:r>
        <w:rPr/>
        <w:t xml:space="preserve">; and whether triggers are defined as </w:t>
      </w:r>
      <w:r>
        <w:rPr>
          <w:b/>
          <w:bCs/>
        </w:rPr>
        <w:t>chronological milestones</w:t>
      </w:r>
      <w:r>
        <w:rPr/>
        <w:t xml:space="preserve"> (school</w:t>
        <w:noBreakHyphen/>
        <w:t>entry age, school</w:t>
        <w:noBreakHyphen/>
        <w:t xml:space="preserve">leaving age) or </w:t>
      </w:r>
      <w:r>
        <w:rPr>
          <w:b/>
          <w:bCs/>
        </w:rPr>
        <w:t>organisational nodes</w:t>
      </w:r>
      <w:r>
        <w:rPr/>
        <w:t xml:space="preserve"> (designated committees or centres). These three dimensions shape system replicability and risk resilience.</w:t>
      </w:r>
    </w:p>
    <w:p>
      <w:pPr>
        <w:pStyle w:val="2"/>
        <w:rPr/>
      </w:pPr>
      <w:r>
        <w:rPr/>
        <w:t>3. National Transition Workflows across Four Jurisdictions</w:t>
      </w:r>
    </w:p>
    <w:p>
      <w:pPr>
        <w:pStyle w:val="3"/>
        <w:rPr/>
      </w:pPr>
      <w:r>
        <w:rPr/>
        <w:t>3.1 China: Clear Statutory Assessment Gateways, Ongoing Improvements for Vertical Transition</w:t>
      </w:r>
    </w:p>
    <w:p>
      <w:pPr>
        <w:pStyle w:val="Normal"/>
        <w:rPr/>
      </w:pPr>
      <w:r>
        <w:rPr/>
        <w:t xml:space="preserve">The core institutional mechanism is the </w:t>
      </w:r>
      <w:r>
        <w:rPr>
          <w:b/>
          <w:bCs/>
        </w:rPr>
        <w:t>county</w:t>
        <w:noBreakHyphen/>
        <w:t>level expert committee on disability</w:t>
        <w:noBreakHyphen/>
        <w:t>inclusive education</w:t>
      </w:r>
      <w:r>
        <w:rPr/>
        <w:t xml:space="preserve">. Article 20 of the </w:t>
      </w:r>
      <w:r>
        <w:rPr>
          <w:i/>
          <w:iCs/>
        </w:rPr>
        <w:t>Regulations on the Education of Persons with Disabilities</w:t>
      </w:r>
      <w:r>
        <w:rPr/>
        <w:t xml:space="preserve"> stipulates that county</w:t>
        <w:noBreakHyphen/>
        <w:t>level education authorities, together with health, civil</w:t>
        <w:noBreakHyphen/>
        <w:t>affairs and disabled</w:t>
        <w:noBreakHyphen/>
        <w:t>persons’ federation agencies, shall set up expert committees comprising education, psychology, rehabilitation and social</w:t>
        <w:noBreakHyphen/>
        <w:t>work professionals. These committees evaluate children’s physical conditions, educational potential and school</w:t>
        <w:noBreakHyphen/>
        <w:t>adaptation capacities, and formulate recommendations for school admission or transfer. Article 21 specifies that county</w:t>
        <w:noBreakHyphen/>
        <w:t>level education authorities shall commission assessments and render decisions in disputed cases (State Council of China, 2017).</w:t>
      </w:r>
    </w:p>
    <w:p>
      <w:pPr>
        <w:pStyle w:val="Normal"/>
        <w:rPr/>
      </w:pPr>
      <w:r>
        <w:rPr/>
        <w:t xml:space="preserve">The Ministry of Education’s </w:t>
      </w:r>
      <w:r>
        <w:rPr>
          <w:i/>
          <w:iCs/>
        </w:rPr>
        <w:t>Guiding Opinions on Strengthening In</w:t>
        <w:noBreakHyphen/>
        <w:t>Class Learning for Children and Adolescents with Disabilities during Compulsory Education</w:t>
      </w:r>
      <w:r>
        <w:rPr/>
        <w:t xml:space="preserve"> provides timelines: admission registration and needs mapping shall be completed by the end of April each year. By the end of May, county</w:t>
        <w:noBreakHyphen/>
        <w:t>level education authorities commission expert</w:t>
        <w:noBreakHyphen/>
        <w:t>committee assessments and produce recommendations on suitability for mainstream in</w:t>
        <w:noBreakHyphen/>
        <w:t>class placement, based on which working records are maintained (Ministry of Education of China, 2020).</w:t>
      </w:r>
    </w:p>
    <w:p>
      <w:pPr>
        <w:pStyle w:val="Normal"/>
        <w:rPr/>
      </w:pPr>
      <w:r>
        <w:rPr/>
        <w:t xml:space="preserve">Clear regulatory texts govern identification workflows. The </w:t>
      </w:r>
      <w:r>
        <w:rPr>
          <w:i/>
          <w:iCs/>
        </w:rPr>
        <w:t>Trial Service Specifications for Autism Screening and Intervention among Children Aged 0</w:t>
        <w:noBreakHyphen/>
        <w:t>6</w:t>
      </w:r>
      <w:r>
        <w:rPr/>
        <w:t xml:space="preserve"> establishes a service network of “township</w:t>
        <w:noBreakHyphen/>
        <w:t>level initial screening — county</w:t>
        <w:noBreakHyphen/>
        <w:t>level rescreening — diagnosis by specialised institutions — intervention and rehabilitation”. Grassroots health facilities deliver eleven rounds of initial psychobehavioural</w:t>
        <w:noBreakHyphen/>
        <w:t>development screening as part of essential public</w:t>
        <w:noBreakHyphen/>
        <w:t>health services. County</w:t>
        <w:noBreakHyphen/>
        <w:t>level maternal</w:t>
        <w:noBreakHyphen/>
        <w:t>and</w:t>
        <w:noBreakHyphen/>
        <w:t>child</w:t>
        <w:noBreakHyphen/>
        <w:t>health institutions conduct rescreening; qualified medical establishments complete diagnoses. Intervention</w:t>
        <w:noBreakHyphen/>
        <w:t>rehabilitation services are jointly delivered by special</w:t>
        <w:noBreakHyphen/>
        <w:t>education, medical and accredited rehabilitation providers. Diagnostic findings are cascaded back across prefectural</w:t>
        <w:noBreakHyphen/>
        <w:t>municipal, county and township tiers (General Office of the National Health Commission of China, 2022). This framework formalises referral</w:t>
        <w:noBreakHyphen/>
        <w:t>to</w:t>
        <w:noBreakHyphen/>
        <w:t>intervention as institutional obligations instead of leaving decision</w:t>
        <w:noBreakHyphen/>
        <w:t>making entirely to families.</w:t>
      </w:r>
    </w:p>
    <w:p>
      <w:pPr>
        <w:pStyle w:val="Normal"/>
        <w:rPr/>
      </w:pPr>
      <w:r>
        <w:rPr/>
        <w:t>Placement follows a tiered model: mainstream in</w:t>
        <w:noBreakHyphen/>
        <w:t>class learning, resource</w:t>
        <w:noBreakHyphen/>
        <w:t>enabled general schools, special</w:t>
        <w:noBreakHyphen/>
        <w:t>education schools, home</w:t>
        <w:noBreakHyphen/>
        <w:t>based teaching or distance education. Resource classrooms and a five</w:t>
        <w:noBreakHyphen/>
        <w:t>tier resource</w:t>
        <w:noBreakHyphen/>
        <w:t>centre system form the organisational foundation for in</w:t>
        <w:noBreakHyphen/>
        <w:t>school support and regional guidance (General Office of the State Council of China, 2021).</w:t>
      </w:r>
    </w:p>
    <w:p>
      <w:pPr>
        <w:pStyle w:val="Normal"/>
        <w:rPr/>
      </w:pPr>
      <w:r>
        <w:rPr/>
        <w:t>Two key weaknesses persist. First, horizontal information</w:t>
        <w:noBreakHyphen/>
        <w:t>sharing: while clear feedback loops exist within healthcare and statutory assessment mechanisms operate within education, institutional interfaces between medical and educational sectors depend largely on local</w:t>
        <w:noBreakHyphen/>
        <w:t>level collaboration without unified nationwide transmission protocols. Second, vertical transition: although policies encourage integration between vocational and special education and mandate vocational departments or classes within special</w:t>
        <w:noBreakHyphen/>
        <w:t>education schools (General Office of the State Council of China, 2021), substantial gaps remain between national policy orientations and operable county</w:t>
        <w:noBreakHyphen/>
        <w:t>level implementation plans. Local governments have begun adopting terminology such as “transition</w:t>
        <w:noBreakHyphen/>
        <w:t>oriented placement” and “vocational transition services” (People’s Government of Shandong Province, 2022; People’s Government of Tianjin Municipality, 2022).</w:t>
      </w:r>
    </w:p>
    <w:p>
      <w:pPr>
        <w:pStyle w:val="3"/>
        <w:rPr/>
      </w:pPr>
      <w:r>
        <w:rPr/>
        <w:t>3.2 Malaysia: Expanded Access with Decision</w:t>
        <w:noBreakHyphen/>
        <w:t>Making Devolved to Schools</w:t>
      </w:r>
    </w:p>
    <w:p>
      <w:pPr>
        <w:pStyle w:val="Normal"/>
        <w:rPr/>
      </w:pPr>
      <w:r>
        <w:rPr/>
        <w:t xml:space="preserve">The </w:t>
      </w:r>
      <w:r>
        <w:rPr>
          <w:b/>
          <w:bCs/>
        </w:rPr>
        <w:t>Zero</w:t>
        <w:noBreakHyphen/>
        <w:t>Rejection Policy</w:t>
      </w:r>
      <w:r>
        <w:rPr/>
        <w:t>, implemented from 2019, enshrines the principle that students with special needs shall not be excluded from education. The Special Education Regulations of 2013 abolished “educability</w:t>
        <w:noBreakHyphen/>
        <w:t>based” child</w:t>
        <w:noBreakHyphen/>
        <w:t>screening practices. An inclusive</w:t>
        <w:noBreakHyphen/>
        <w:t>education framework and the operational handbook for the Special</w:t>
        <w:noBreakHyphen/>
        <w:t xml:space="preserve">Education Integration Programme (PPKI) were issued in 2013 and 2015 respectively. The </w:t>
      </w:r>
      <w:r>
        <w:rPr>
          <w:i/>
          <w:iCs/>
        </w:rPr>
        <w:t>Persons with Disabilities Act 2008</w:t>
      </w:r>
      <w:r>
        <w:rPr/>
        <w:t xml:space="preserve"> guarantees equal</w:t>
        <w:noBreakHyphen/>
        <w:t>access</w:t>
        <w:noBreakHyphen/>
        <w:t>to</w:t>
        <w:noBreakHyphen/>
        <w:t>education rights and reasonable accommodation (UNESCO, n.d.</w:t>
        <w:noBreakHyphen/>
        <w:t>b).</w:t>
      </w:r>
    </w:p>
    <w:p>
      <w:pPr>
        <w:pStyle w:val="Normal"/>
        <w:rPr/>
      </w:pPr>
      <w:r>
        <w:rPr/>
        <w:t>Tensions arise: while admission rights are legally established, explicit standardised placement criteria are absent. UNESCO country profiles cite observations by the Malaysian Coalition for the Rights of the Child that eligibility criteria for special</w:t>
        <w:noBreakHyphen/>
        <w:t>education classes remain ambiguous. Placement authority effectively rests with school administrations, informed by special</w:t>
        <w:noBreakHyphen/>
        <w:t>educator advice and mainstream</w:t>
        <w:noBreakHyphen/>
        <w:t>class teachers’ readiness for inclusion (UNESCO, n.d.</w:t>
        <w:noBreakHyphen/>
        <w:t>b). The same child may receive different placement outcomes across different schools. Such flexibility prevents rigid thresholds from barring children from education, yet fairness becomes highly contingent on individual schools’ professional capacity and willingness, creating urban</w:t>
        <w:noBreakHyphen/>
        <w:t>rural inequities.</w:t>
      </w:r>
    </w:p>
    <w:p>
      <w:pPr>
        <w:pStyle w:val="Normal"/>
        <w:rPr/>
      </w:pPr>
      <w:r>
        <w:rPr/>
        <w:t>At community level, the OKU disability</w:t>
        <w:noBreakHyphen/>
        <w:t>registration system operated by welfare authorities provides formal status recognition, and Community</w:t>
        <w:noBreakHyphen/>
        <w:t>Based Rehabilitation (PDK) has long functioned as a hub for rehabilitation and family support. Nevertheless, no unified official referral forms govern pathways from hospitals or PDK centres to mainstream schools; most documentation is manually submitted by parents. Transitions from school to adulthood rely mainly on vocational training and employment support, with highly variable implementation across states and individual schools.</w:t>
      </w:r>
    </w:p>
    <w:p>
      <w:pPr>
        <w:pStyle w:val="3"/>
        <w:rPr/>
      </w:pPr>
      <w:r>
        <w:rPr/>
        <w:t>3.3 Brunei Darussalam: Established Policy Framework, Awaiting Public Procedural Details</w:t>
      </w:r>
    </w:p>
    <w:p>
      <w:pPr>
        <w:pStyle w:val="Normal"/>
        <w:rPr/>
      </w:pPr>
      <w:r>
        <w:rPr/>
        <w:t>The Special Education Department within the Ministry of Education coordinates inclusive</w:t>
        <w:noBreakHyphen/>
        <w:t>education implementation. Following formal needs assessments, students receive Individualised Education Plans (IEPs) delivered by School</w:t>
        <w:noBreakHyphen/>
        <w:t>Based Teams comprising Special</w:t>
        <w:noBreakHyphen/>
        <w:t>Education</w:t>
        <w:noBreakHyphen/>
        <w:t>Needs Assistant (SENA) teachers, mainstream classroom teachers, teaching assistants, resource teachers, special</w:t>
        <w:noBreakHyphen/>
        <w:t>education teachers, psychologists and allied professionals. A five</w:t>
        <w:noBreakHyphen/>
        <w:t>year pre</w:t>
        <w:noBreakHyphen/>
        <w:t>vocational secondary curriculum delivers practical and work</w:t>
        <w:noBreakHyphen/>
        <w:t>related skills (UNESCO, n.d.</w:t>
        <w:noBreakHyphen/>
        <w:t>a). The 1997 Special Education Policy was revised into the Inclusive Education Policy in 2022, establishing children’s statutory right to mainstream</w:t>
        <w:noBreakHyphen/>
        <w:t>school attendance. The Child Development Centre (CDC) under the Ministry of Health undertakes developmental assessments, early intervention and professional support, acting as the primary entry</w:t>
        <w:noBreakHyphen/>
        <w:t>point for family</w:t>
        <w:noBreakHyphen/>
        <w:t>accessed services (Xinhua, 2024a).</w:t>
      </w:r>
    </w:p>
    <w:p>
      <w:pPr>
        <w:pStyle w:val="Normal"/>
        <w:rPr/>
      </w:pPr>
      <w:r>
        <w:rPr/>
        <w:t xml:space="preserve">Implementation gaps concern </w:t>
      </w:r>
      <w:r>
        <w:rPr>
          <w:b/>
          <w:bCs/>
        </w:rPr>
        <w:t>procedural transparency</w:t>
      </w:r>
      <w:r>
        <w:rPr/>
        <w:t>: publicly</w:t>
        <w:noBreakHyphen/>
        <w:t>available documents offer limited specifics on who transmits assessment findings to schools, what interim support is provided during waiting periods, and how support</w:t>
        <w:noBreakHyphen/>
        <w:t>related information is shared between mainstream schools and Ministry of Religious Affairs</w:t>
        <w:noBreakHyphen/>
        <w:t>administered Ugama religious schools. Where children attend both systems concurrently, parents frequently must reiterate children’s support needs separately in each setting.</w:t>
      </w:r>
    </w:p>
    <w:p>
      <w:pPr>
        <w:pStyle w:val="Normal"/>
        <w:rPr/>
      </w:pPr>
      <w:r>
        <w:rPr/>
        <w:t>Official sources acknowledge resource constraints. The Minister of Education stated in legislative sittings that realising Wawasan Brunei 2035 faces challenges including shortages of early</w:t>
        <w:noBreakHyphen/>
        <w:t>childhood and special</w:t>
        <w:noBreakHyphen/>
        <w:t>education teachers and limited capacity in post</w:t>
        <w:noBreakHyphen/>
        <w:t>secondary institutions (Xinhua, 2025b). Brunei also opened its first</w:t>
        <w:noBreakHyphen/>
        <w:t>ever special</w:t>
        <w:noBreakHyphen/>
        <w:t>needs school in 2024 (Xinhua, 2024b). This indicates shortcomings lie not in high</w:t>
        <w:noBreakHyphen/>
        <w:t>level policy direction, but in formalising and publishing actionable transition workflows derived from existing frameworks.</w:t>
      </w:r>
    </w:p>
    <w:p>
      <w:pPr>
        <w:pStyle w:val="3"/>
        <w:rPr/>
      </w:pPr>
      <w:r>
        <w:rPr/>
        <w:t>3.4 Singapore: Chronological Milestones Embedded within Service Chains</w:t>
      </w:r>
    </w:p>
    <w:p>
      <w:pPr>
        <w:pStyle w:val="Normal"/>
        <w:rPr/>
      </w:pPr>
      <w:r>
        <w:rPr/>
        <w:t xml:space="preserve">Singapore adopts an alternative model, relying not on single organisational gateways but </w:t>
      </w:r>
      <w:r>
        <w:rPr>
          <w:b/>
          <w:bCs/>
        </w:rPr>
        <w:t>age</w:t>
        <w:noBreakHyphen/>
        <w:t xml:space="preserve"> and stage</w:t>
        <w:noBreakHyphen/>
        <w:t>based trigger mechanisms</w:t>
      </w:r>
      <w:r>
        <w:rPr/>
        <w:t>.</w:t>
      </w:r>
    </w:p>
    <w:p>
      <w:pPr>
        <w:pStyle w:val="Normal"/>
        <w:rPr/>
      </w:pPr>
      <w:r>
        <w:rPr/>
        <w:t>First, prioritised timelines for early</w:t>
        <w:noBreakHyphen/>
        <w:t>intervention transition. According to 2024 parliamentary replies, paediatric</w:t>
        <w:noBreakHyphen/>
        <w:t>led assessments determine required tiers of early intervention. Children with moderate</w:t>
        <w:noBreakHyphen/>
        <w:t>to</w:t>
        <w:noBreakHyphen/>
        <w:t>high support needs are referred to EIPIC or EIPIC</w:t>
        <w:noBreakHyphen/>
        <w:t>P services. While placements follow sequential waiting</w:t>
        <w:noBreakHyphen/>
        <w:t>list logic, centres prioritise children aged five to six years old to ensure at least one year of intervention prior to entry into mainstream or Special Education (SPED) schools (The Paper, 2024). This “end</w:t>
        <w:noBreakHyphen/>
        <w:t>point</w:t>
        <w:noBreakHyphen/>
        <w:t>driven service</w:t>
        <w:noBreakHyphen/>
        <w:t>alignment” design locks in desired later outcomes and configures preceding services accordingly.</w:t>
      </w:r>
    </w:p>
    <w:p>
      <w:pPr>
        <w:pStyle w:val="Normal"/>
        <w:rPr/>
      </w:pPr>
      <w:r>
        <w:rPr/>
        <w:t>Second, centralised intake review. Applications for SPED</w:t>
        <w:noBreakHyphen/>
        <w:t>school admission are processed and reviewed centrally by the Ministry of Education, with placements determined following professional assessment rather than direct school</w:t>
        <w:noBreakHyphen/>
        <w:t>by</w:t>
        <w:noBreakHyphen/>
        <w:t>school parental applications. Public</w:t>
        <w:noBreakHyphen/>
        <w:t>system entitlements apply principally to citizens and permanent residents (MOE Singapore, n.d.</w:t>
        <w:noBreakHyphen/>
        <w:t>a). This reduces the burden on parents of applying to multiple schools and unifies evaluation standards.</w:t>
      </w:r>
    </w:p>
    <w:p>
      <w:pPr>
        <w:pStyle w:val="Normal"/>
        <w:rPr/>
      </w:pPr>
      <w:r>
        <w:rPr/>
        <w:t>Third, institutionalised vertical exit pathways. The Ministry of Education mandates Individual Transition Plans for SPED students, planning for post</w:t>
        <w:noBreakHyphen/>
        <w:t>school employment, further education and community participation (MOE Singapore, n.d.</w:t>
        <w:noBreakHyphen/>
        <w:t>b). New vocational</w:t>
        <w:noBreakHyphen/>
        <w:t>education curricula were rolled</w:t>
        <w:noBreakHyphen/>
        <w:t>out across all twenty SPED schools starting in 2023, expanding pathways to sheltered employment, self</w:t>
        <w:noBreakHyphen/>
        <w:t>employment, volunteer work and home</w:t>
        <w:noBreakHyphen/>
        <w:t>based work (MOE Singapore, 2022). Within mainstream schools, Primary</w:t>
        <w:noBreakHyphen/>
        <w:t>One</w:t>
        <w:noBreakHyphen/>
        <w:t>level screening, Learning</w:t>
        <w:noBreakHyphen/>
        <w:t>Support Programmes and Learning</w:t>
        <w:noBreakHyphen/>
        <w:t>Support Teachers deliver early identification and in</w:t>
        <w:noBreakHyphen/>
        <w:t>class assistance (MOE Singapore, n.d.</w:t>
        <w:noBreakHyphen/>
        <w:t>c).</w:t>
      </w:r>
    </w:p>
    <w:p>
      <w:pPr>
        <w:pStyle w:val="Normal"/>
        <w:rPr/>
      </w:pPr>
      <w:r>
        <w:rPr/>
        <w:t>Centralisation carries trade</w:t>
        <w:noBreakHyphen/>
        <w:t>offs: consolidated review authority reduces parental negotiation space; entitlements are tied to immigration status, restricting full service access for non</w:t>
        <w:noBreakHyphen/>
        <w:t>citizen families. This represents a compromise between service efficiency and equitable accessibility.</w:t>
      </w:r>
    </w:p>
    <w:p>
      <w:pPr>
        <w:pStyle w:val="Normal"/>
        <w:rPr/>
      </w:pPr>
      <w:r>
        <w:rPr/>
      </w:r>
    </w:p>
    <w:tbl>
      <w:tblPr>
        <w:tblW w:w="9026" w:type="dxa"/>
        <w:jc w:val="left"/>
        <w:tblInd w:w="0" w:type="dxa"/>
        <w:tblLayout w:type="fixed"/>
        <w:tblCellMar>
          <w:top w:w="60" w:type="dxa"/>
          <w:left w:w="60" w:type="dxa"/>
          <w:bottom w:w="60" w:type="dxa"/>
          <w:right w:w="60" w:type="dxa"/>
        </w:tblCellMar>
      </w:tblPr>
      <w:tblGrid>
        <w:gridCol w:w="1301"/>
        <w:gridCol w:w="2116"/>
        <w:gridCol w:w="1891"/>
        <w:gridCol w:w="1937"/>
        <w:gridCol w:w="1781"/>
      </w:tblGrid>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Dimension</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China</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Malaysia</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Brunei Darussalam</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Singapore</w:t>
            </w:r>
          </w:p>
        </w:tc>
      </w:tr>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Governing mechanism</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County</w:t>
              <w:noBreakHyphen/>
              <w:t>level multi</w:t>
              <w:noBreakHyphen/>
              <w:t>sector expert committees</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National</w:t>
              <w:noBreakHyphen/>
              <w:t>level ministry policies plus school</w:t>
              <w:noBreakHyphen/>
              <w:t>level discretion</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Special</w:t>
              <w:noBreakHyphen/>
              <w:t>Education Department and School</w:t>
              <w:noBreakHyphen/>
              <w:t>Based Teams</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Centralised intake and review by the Ministry of Education</w:t>
            </w:r>
          </w:p>
        </w:tc>
      </w:tr>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Basis for assessment</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Statutory competence assessment with formal dispute</w:t>
              <w:noBreakHyphen/>
              <w:t>resolution routes</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Professional school</w:t>
              <w:noBreakHyphen/>
              <w:t>level judgements with flexible criteria</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Needs</w:t>
              <w:noBreakHyphen/>
              <w:t>assessment feeding into IEPs</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Professional assessment plus central MOE review</w:t>
            </w:r>
          </w:p>
        </w:tc>
      </w:tr>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Information hand</w:t>
              <w:noBreakHyphen/>
              <w:t>over</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Clear healthcare</w:t>
              <w:noBreakHyphen/>
              <w:t>sector protocols; medical</w:t>
              <w:noBreakHyphen/>
              <w:t>education interface remains incomplete</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Documentation mostly carried manually by parents</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Limited publicly</w:t>
              <w:noBreakHyphen/>
              <w:t>disclosed procedural detail</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Predominantly formal inter</w:t>
              <w:noBreakHyphen/>
              <w:t>agency record transmission</w:t>
            </w:r>
          </w:p>
        </w:tc>
      </w:tr>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Vertical post</w:t>
              <w:noBreakHyphen/>
              <w:t>school pathways</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Policy framework for integrated vocational</w:t>
              <w:noBreakHyphen/>
              <w:t>special education</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Vocational training and employment support with uneven implementation</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Five</w:t>
              <w:noBreakHyphen/>
              <w:t>year pre</w:t>
              <w:noBreakHyphen/>
              <w:t>vocational secondary curriculum</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Individual Transition Plans plus dedicated vocational curricula</w:t>
            </w:r>
          </w:p>
        </w:tc>
      </w:tr>
      <w:tr>
        <w:trPr/>
        <w:tc>
          <w:tcPr>
            <w:tcW w:w="130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Key systemic risks</w:t>
            </w:r>
          </w:p>
        </w:tc>
        <w:tc>
          <w:tcPr>
            <w:tcW w:w="2116" w:type="dxa"/>
            <w:tcBorders>
              <w:top w:val="single" w:sz="2" w:space="0" w:color="D0D0D0"/>
              <w:left w:val="single" w:sz="2" w:space="0" w:color="D0D0D0"/>
              <w:bottom w:val="single" w:sz="2" w:space="0" w:color="D0D0D0"/>
              <w:right w:val="single" w:sz="2" w:space="0" w:color="D0D0D0"/>
            </w:tcBorders>
            <w:vAlign w:val="center"/>
          </w:tcPr>
          <w:p>
            <w:pPr>
              <w:pStyle w:val="Style16"/>
              <w:rPr/>
            </w:pPr>
            <w:r>
              <w:rPr/>
              <w:t>Uneven implementation across regions</w:t>
            </w:r>
          </w:p>
        </w:tc>
        <w:tc>
          <w:tcPr>
            <w:tcW w:w="189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Inconsistent placement standards</w:t>
            </w:r>
          </w:p>
        </w:tc>
        <w:tc>
          <w:tcPr>
            <w:tcW w:w="1937" w:type="dxa"/>
            <w:tcBorders>
              <w:top w:val="single" w:sz="2" w:space="0" w:color="D0D0D0"/>
              <w:left w:val="single" w:sz="2" w:space="0" w:color="D0D0D0"/>
              <w:bottom w:val="single" w:sz="2" w:space="0" w:color="D0D0D0"/>
              <w:right w:val="single" w:sz="2" w:space="0" w:color="D0D0D0"/>
            </w:tcBorders>
            <w:vAlign w:val="center"/>
          </w:tcPr>
          <w:p>
            <w:pPr>
              <w:pStyle w:val="Style16"/>
              <w:rPr/>
            </w:pPr>
            <w:r>
              <w:rPr/>
              <w:t>Insufficient formal documentation of procedures</w:t>
            </w:r>
          </w:p>
        </w:tc>
        <w:tc>
          <w:tcPr>
            <w:tcW w:w="1781" w:type="dxa"/>
            <w:tcBorders>
              <w:top w:val="single" w:sz="2" w:space="0" w:color="D0D0D0"/>
              <w:left w:val="single" w:sz="2" w:space="0" w:color="D0D0D0"/>
              <w:bottom w:val="single" w:sz="2" w:space="0" w:color="D0D0D0"/>
              <w:right w:val="single" w:sz="2" w:space="0" w:color="D0D0D0"/>
            </w:tcBorders>
            <w:vAlign w:val="center"/>
          </w:tcPr>
          <w:p>
            <w:pPr>
              <w:pStyle w:val="Style16"/>
              <w:rPr/>
            </w:pPr>
            <w:r>
              <w:rPr/>
              <w:t>Service eligibility tied to citizenship status</w:t>
            </w:r>
          </w:p>
        </w:tc>
      </w:tr>
    </w:tbl>
    <w:p>
      <w:pPr>
        <w:pStyle w:val="Normal"/>
        <w:rPr/>
      </w:pPr>
      <w:r>
        <w:rPr/>
      </w:r>
    </w:p>
    <w:p>
      <w:pPr>
        <w:pStyle w:val="Normal"/>
        <w:rPr/>
      </w:pPr>
      <w:r>
        <w:rPr/>
        <w:t xml:space="preserve">In summary: China represents the </w:t>
      </w:r>
      <w:r>
        <w:rPr>
          <w:b/>
          <w:bCs/>
        </w:rPr>
        <w:t>statutory</w:t>
        <w:noBreakHyphen/>
        <w:t>organisational</w:t>
        <w:noBreakHyphen/>
        <w:t>node model</w:t>
      </w:r>
      <w:r>
        <w:rPr/>
        <w:t>, formalising assessment and placement via county</w:t>
        <w:noBreakHyphen/>
        <w:t xml:space="preserve">level expert committees. Singapore exemplifies the </w:t>
      </w:r>
      <w:r>
        <w:rPr>
          <w:b/>
          <w:bCs/>
        </w:rPr>
        <w:t>chronological</w:t>
        <w:noBreakHyphen/>
        <w:t>milestone model</w:t>
      </w:r>
      <w:r>
        <w:rPr/>
        <w:t>, structuring services backwards from defined age</w:t>
        <w:noBreakHyphen/>
        <w:t xml:space="preserve">related outcomes. Malaysia follows an </w:t>
      </w:r>
      <w:r>
        <w:rPr>
          <w:b/>
          <w:bCs/>
        </w:rPr>
        <w:t>access</w:t>
        <w:noBreakHyphen/>
        <w:t>expansion model</w:t>
      </w:r>
      <w:r>
        <w:rPr/>
        <w:t xml:space="preserve">, establishing legal entitlements while delegating placement judgements to schools. Brunei operates as a </w:t>
      </w:r>
      <w:r>
        <w:rPr>
          <w:b/>
          <w:bCs/>
        </w:rPr>
        <w:t>framework</w:t>
        <w:noBreakHyphen/>
        <w:t>in</w:t>
        <w:noBreakHyphen/>
        <w:t>place model</w:t>
      </w:r>
      <w:r>
        <w:rPr/>
        <w:t>, with established policies and organisational structures requiring further documented procedural detail. These four models reflect distinct administrative scales and governance traditions. China’s territorial scope necessitates county</w:t>
        <w:noBreakHyphen/>
        <w:t>level implementation units; Singapore’s city</w:t>
        <w:noBreakHyphen/>
        <w:t>state geography enables centralised administration; Brunei’s small population and dual</w:t>
        <w:noBreakHyphen/>
        <w:t>track education system suggest priority should be given to documenting minimal viable hand</w:t>
        <w:noBreakHyphen/>
        <w:t>over protocols rather than replicating full</w:t>
        <w:noBreakHyphen/>
        <w:t>scale foreign systems.</w:t>
      </w:r>
    </w:p>
    <w:p>
      <w:pPr>
        <w:pStyle w:val="2"/>
        <w:rPr/>
      </w:pPr>
      <w:r>
        <w:rPr/>
        <w:t>5. Discussion: Three Core Pain Points and Two Key Tensions</w:t>
      </w:r>
    </w:p>
    <w:p>
      <w:pPr>
        <w:pStyle w:val="Normal"/>
        <w:rPr/>
      </w:pPr>
      <w:r>
        <w:rPr>
          <w:b/>
          <w:bCs/>
        </w:rPr>
        <w:t>Heavy family reliance for information</w:t>
        <w:noBreakHyphen/>
        <w:t>hand</w:t>
        <w:noBreakHyphen/>
        <w:t>over constitutes the most hidden shared cost across all four jurisdictions.</w:t>
      </w:r>
      <w:r>
        <w:rPr/>
        <w:t xml:space="preserve"> Except for Singapore, systems depend to varying extents on parents manually transporting documentation. Although seemingly an administrative convenience, this imposes unmeasured care</w:t>
        <w:noBreakHyphen/>
        <w:t>labour burdens: families must interpret multi</w:t>
        <w:noBreakHyphen/>
        <w:t>system professional language, store and reproduce reports, and restate children’s developmental histories across new service settings. Critically, lost or delayed documentation is frequently attributed to “low parental compliance” rather than systemic absence of formal transmission rules.</w:t>
      </w:r>
    </w:p>
    <w:p>
      <w:pPr>
        <w:pStyle w:val="Normal"/>
        <w:rPr/>
      </w:pPr>
      <w:r>
        <w:rPr>
          <w:b/>
          <w:bCs/>
        </w:rPr>
        <w:t>Vertical transition consistently lags behind horizontal transition.</w:t>
      </w:r>
      <w:r>
        <w:rPr/>
        <w:t xml:space="preserve"> All four countries possess comparatively robust institutional provisions for preschool</w:t>
        <w:noBreakHyphen/>
        <w:t>to</w:t>
        <w:noBreakHyphen/>
        <w:t>school entry, while support for post</w:t>
        <w:noBreakHyphen/>
        <w:t>school adulthood remains weaker. Horizontal transitions operate largely within education or between health and education sectors with relatively clear accountability. Vertical transitions demand collaboration across education, labour, welfare and social</w:t>
        <w:noBreakHyphen/>
        <w:t>service authorities; no single agency readily claims lead responsibility. Consequently, school</w:t>
        <w:noBreakHyphen/>
        <w:t>to</w:t>
        <w:noBreakHyphen/>
        <w:t>adulthood pathways represent the thinnest segment of service chains — despite determining whether years of prior investment translate into meaningful quality</w:t>
        <w:noBreakHyphen/>
        <w:t>of</w:t>
        <w:noBreakHyphen/>
        <w:t>life outcomes.</w:t>
      </w:r>
    </w:p>
    <w:p>
      <w:pPr>
        <w:pStyle w:val="Normal"/>
        <w:rPr/>
      </w:pPr>
      <w:r>
        <w:rPr>
          <w:b/>
          <w:bCs/>
        </w:rPr>
        <w:t>Workforce capacity represents practical implementation constraints.</w:t>
      </w:r>
      <w:r>
        <w:rPr/>
        <w:t xml:space="preserve"> County</w:t>
        <w:noBreakHyphen/>
        <w:t>committee interdisciplinary assessments, school</w:t>
        <w:noBreakHyphen/>
        <w:t>based</w:t>
        <w:noBreakHyphen/>
        <w:t>team resourcing and prioritised early</w:t>
        <w:noBreakHyphen/>
        <w:t>intervention placements ultimately depend on available qualified personnel. Officially</w:t>
        <w:noBreakHyphen/>
        <w:t>acknowledged special</w:t>
        <w:noBreakHyphen/>
        <w:t>education</w:t>
        <w:noBreakHyphen/>
        <w:t>teacher shortages and limited post</w:t>
        <w:noBreakHyphen/>
        <w:t>secondary capacity in Brunei (Xinhua, 2025b) illustrate challenges shared across all four nations, albeit articulated differently. This implies procedural documentation should precede performance</w:t>
        <w:noBreakHyphen/>
        <w:t>target</w:t>
        <w:noBreakHyphen/>
        <w:t>setting; overly</w:t>
        <w:noBreakHyphen/>
        <w:t>detailed standards without implementation capacity amplify implementation gaps.</w:t>
      </w:r>
    </w:p>
    <w:p>
      <w:pPr>
        <w:pStyle w:val="Normal"/>
        <w:rPr/>
      </w:pPr>
      <w:r>
        <w:rPr/>
        <w:t>Two tensions merit careful consideration.</w:t>
      </w:r>
    </w:p>
    <w:p>
      <w:pPr>
        <w:pStyle w:val="Normal"/>
        <w:rPr/>
      </w:pPr>
      <w:r>
        <w:rPr>
          <w:b/>
          <w:bCs/>
        </w:rPr>
        <w:t>Standardisation versus local autonomy.</w:t>
      </w:r>
      <w:r>
        <w:rPr/>
        <w:t xml:space="preserve"> Unified standards advance equity yet may fail to accommodate divergent local</w:t>
        <w:noBreakHyphen/>
        <w:t>resource realities. Delegating judgement to schools enables flexibility but risks converting structural</w:t>
        <w:noBreakHyphen/>
        <w:t>resource inequalities into variable school</w:t>
        <w:noBreakHyphen/>
        <w:t>level willingness</w:t>
        <w:noBreakHyphen/>
        <w:t>to</w:t>
        <w:noBreakHyphen/>
        <w:t>include. Malaysian experience demonstrates that unclear eligibility criteria effectively shift decision</w:t>
        <w:noBreakHyphen/>
        <w:t xml:space="preserve">making to “which school is willing to admit the child”. Standardisation therefore need not impose identical nationwide assessment instruments; priority should be establishing </w:t>
      </w:r>
      <w:r>
        <w:rPr>
          <w:b/>
          <w:bCs/>
        </w:rPr>
        <w:t>minimum procedural rights</w:t>
      </w:r>
      <w:r>
        <w:rPr/>
        <w:t>: who conducts assessments, maximum completion timelines, how results are communicated, and avenues for appeal.</w:t>
      </w:r>
    </w:p>
    <w:p>
      <w:pPr>
        <w:pStyle w:val="Normal"/>
        <w:rPr/>
      </w:pPr>
      <w:r>
        <w:rPr>
          <w:b/>
          <w:bCs/>
        </w:rPr>
        <w:t>Transition efficiency versus parental participation.</w:t>
      </w:r>
      <w:r>
        <w:rPr/>
        <w:t xml:space="preserve"> Centralised review improves administrative efficiency yet risks repositioning parents from co</w:t>
        <w:noBreakHyphen/>
        <w:t>decision</w:t>
        <w:noBreakHyphen/>
        <w:t>makers to passive outcome</w:t>
        <w:noBreakHyphen/>
        <w:t>recipients. Transition</w:t>
        <w:noBreakHyphen/>
        <w:t xml:space="preserve">research literature often treats parental participation as an unconditional good. Participation itself consumes time and psychological resources; it is essential to distinguish </w:t>
      </w:r>
      <w:r>
        <w:rPr>
          <w:b/>
          <w:bCs/>
        </w:rPr>
        <w:t>participation in decision</w:t>
        <w:noBreakHyphen/>
        <w:t>making (a right)</w:t>
      </w:r>
      <w:r>
        <w:rPr/>
        <w:t xml:space="preserve"> from </w:t>
      </w:r>
      <w:r>
        <w:rPr>
          <w:b/>
          <w:bCs/>
        </w:rPr>
        <w:t>burden of inter</w:t>
        <w:noBreakHyphen/>
        <w:t>agency coordination (uncompensated labour)</w:t>
      </w:r>
      <w:r>
        <w:rPr/>
        <w:t>. Systems ought to expand the former and minimise the latter.</w:t>
      </w:r>
    </w:p>
    <w:p>
      <w:pPr>
        <w:pStyle w:val="Normal"/>
        <w:rPr/>
      </w:pPr>
      <w:r>
        <w:rPr/>
        <w:t>One policy question remains insufficiently addressed across national frameworks: what constitutes the minimum dataset within transition records? Who holds custodianship? Who governs data</w:t>
        <w:noBreakHyphen/>
        <w:t>sharing permissions once children reach adulthood? Amid digital</w:t>
        <w:noBreakHyphen/>
        <w:t>transition trends, this poses both technical and human</w:t>
        <w:noBreakHyphen/>
        <w:t>rights</w:t>
        <w:noBreakHyphen/>
        <w:t>related challenges.</w:t>
      </w:r>
    </w:p>
    <w:p>
      <w:pPr>
        <w:pStyle w:val="2"/>
        <w:rPr/>
      </w:pPr>
      <w:r>
        <w:rPr/>
        <w:t>6. Regional Implications for ASEAN</w:t>
      </w:r>
    </w:p>
    <w:p>
      <w:pPr>
        <w:pStyle w:val="Normal"/>
        <w:rPr/>
      </w:pPr>
      <w:r>
        <w:rPr>
          <w:b/>
          <w:bCs/>
        </w:rPr>
        <w:t>Document minimal viable procedures prior to pursuing comprehensive large</w:t>
        <w:noBreakHyphen/>
        <w:t>scale systems.</w:t>
      </w:r>
      <w:r>
        <w:rPr/>
        <w:t xml:space="preserve"> For small jurisdictions such as Brunei, clarifying transition triggers, mandatory document checklists, stakeholder roles and time</w:t>
        <w:noBreakHyphen/>
        <w:t>limits yields greater practical value than building complex centralised information platforms. A concise one</w:t>
        <w:noBreakHyphen/>
        <w:t>page hand</w:t>
        <w:noBreakHyphen/>
        <w:t>over brief may outperform unimplemented large</w:t>
        <w:noBreakHyphen/>
        <w:t>scale digital infrastructure.</w:t>
      </w:r>
    </w:p>
    <w:p>
      <w:pPr>
        <w:pStyle w:val="Normal"/>
        <w:rPr/>
      </w:pPr>
      <w:r>
        <w:rPr>
          <w:b/>
          <w:bCs/>
        </w:rPr>
        <w:t>Convert waiting</w:t>
        <w:noBreakHyphen/>
        <w:t>list periods into active service windows.</w:t>
      </w:r>
      <w:r>
        <w:rPr/>
        <w:t xml:space="preserve"> Assessment waiting queues represent frequently</w:t>
        <w:noBreakHyphen/>
        <w:t>wasted opportunities within service pipelines. Community</w:t>
        <w:noBreakHyphen/>
        <w:t>based rehabilitation, parent peer</w:t>
        <w:noBreakHyphen/>
        <w:t>groups and interim interventions can support families during these intervals and prevent service disconnection.</w:t>
      </w:r>
    </w:p>
    <w:p>
      <w:pPr>
        <w:pStyle w:val="Normal"/>
        <w:rPr/>
      </w:pPr>
      <w:r>
        <w:rPr>
          <w:b/>
          <w:bCs/>
        </w:rPr>
        <w:t>Develop shared summary documentation for dual</w:t>
        <w:noBreakHyphen/>
        <w:t>track education systems.</w:t>
      </w:r>
      <w:r>
        <w:rPr/>
        <w:t xml:space="preserve"> Where mainstream and religious</w:t>
        <w:noBreakHyphen/>
        <w:t>school systems co</w:t>
        <w:noBreakHyphen/>
        <w:t>exist, with parental consent, share concise one</w:t>
        <w:noBreakHyphen/>
        <w:t>page support summaries covering learning priorities, communication approaches, behavioural</w:t>
        <w:noBreakHyphen/>
        <w:t>support strategies and emergency contacts. Religious</w:t>
        <w:noBreakHyphen/>
        <w:t>school educators shall not undertake diagnostic or therapeutic functions but may document observable support needs and positive</w:t>
        <w:noBreakHyphen/>
        <w:t>support strategies.</w:t>
      </w:r>
    </w:p>
    <w:p>
      <w:pPr>
        <w:pStyle w:val="Normal"/>
        <w:rPr/>
      </w:pPr>
      <w:r>
        <w:rPr>
          <w:b/>
          <w:bCs/>
        </w:rPr>
        <w:t>Initiate vertical</w:t>
        <w:noBreakHyphen/>
        <w:t>transition planning early.</w:t>
      </w:r>
      <w:r>
        <w:rPr/>
        <w:t xml:space="preserve"> The transferable lesson from Singapore is not specific curriculum content but its outcome</w:t>
        <w:noBreakHyphen/>
        <w:t>backwards chronological service</w:t>
        <w:noBreakHyphen/>
        <w:t>design philosophy, establishing later</w:t>
        <w:noBreakHyphen/>
        <w:t>life goals and configuring preceding services accordingly.</w:t>
      </w:r>
    </w:p>
    <w:p>
      <w:pPr>
        <w:pStyle w:val="Normal"/>
        <w:rPr/>
      </w:pPr>
      <w:r>
        <w:rPr>
          <w:b/>
          <w:bCs/>
        </w:rPr>
        <w:t>Incorporate parental</w:t>
        <w:noBreakHyphen/>
        <w:t>experience indicators within transition</w:t>
        <w:noBreakHyphen/>
        <w:t>performance metrics.</w:t>
      </w:r>
      <w:r>
        <w:rPr/>
        <w:t xml:space="preserve"> Beyond timeliness</w:t>
        <w:noBreakHyphen/>
        <w:t>of</w:t>
        <w:noBreakHyphen/>
        <w:t>placement and service</w:t>
        <w:noBreakHyphen/>
        <w:t>delivery rates, measure whether caregivers understand next</w:t>
        <w:noBreakHyphen/>
        <w:t>step workflows, whether repeated narrative disclosures are required, and whether interim support is provided during waiting periods. Such metrics reveal system</w:t>
        <w:noBreakHyphen/>
        <w:t>level discontinuities invisible in procedural documentation.</w:t>
      </w:r>
    </w:p>
    <w:p>
      <w:pPr>
        <w:pStyle w:val="Normal"/>
        <w:rPr/>
      </w:pPr>
      <w:r>
        <w:rPr>
          <w:b/>
          <w:bCs/>
        </w:rPr>
        <w:t>Regional collaboration on shared tools and workforce</w:t>
        <w:noBreakHyphen/>
        <w:t>training standards.</w:t>
      </w:r>
      <w:r>
        <w:rPr/>
        <w:t xml:space="preserve"> ASEAN member</w:t>
        <w:noBreakHyphen/>
        <w:t>states may co</w:t>
        <w:noBreakHyphen/>
        <w:t>develop transition</w:t>
        <w:noBreakHyphen/>
        <w:t>referral templates, assessor</w:t>
        <w:noBreakHyphen/>
        <w:t>training modules and cross</w:t>
        <w:noBreakHyphen/>
        <w:t>cultural</w:t>
        <w:noBreakHyphen/>
        <w:t>adaptation know</w:t>
        <w:noBreakHyphen/>
        <w:t>how to reduce redundant national development work.</w:t>
      </w:r>
    </w:p>
    <w:p>
      <w:pPr>
        <w:pStyle w:val="2"/>
        <w:rPr/>
      </w:pPr>
      <w:r>
        <w:rPr/>
        <w:t>7. Conclusion</w:t>
      </w:r>
    </w:p>
    <w:p>
      <w:pPr>
        <w:pStyle w:val="Normal"/>
        <w:rPr/>
      </w:pPr>
      <w:r>
        <w:rPr/>
        <w:t>National systems reflect each jurisdiction’s administrative scale, governance traditions and cultural contexts: China safeguards placement professionalism through statutory assessment mechanisms; Singapore orchestrates full</w:t>
        <w:noBreakHyphen/>
        <w:t>path services via chronological milestones; Malaysia signals rights expansion by widening entry access; Brunei possesses high</w:t>
        <w:noBreakHyphen/>
        <w:t>level frameworks yet requires further transparent procedural documentation. Shared bottlenecks lie not in initial admission access but in inter</w:t>
        <w:noBreakHyphen/>
        <w:t>setting hand</w:t>
        <w:noBreakHyphen/>
        <w:t>over, particularly vertical post</w:t>
        <w:noBreakHyphen/>
        <w:t>school transition.</w:t>
      </w:r>
    </w:p>
    <w:p>
      <w:pPr>
        <w:pStyle w:val="Normal"/>
        <w:rPr/>
      </w:pPr>
      <w:r>
        <w:rPr/>
        <w:t>This study is constrained by publicly</w:t>
        <w:noBreakHyphen/>
        <w:t>available</w:t>
        <w:noBreakHyphen/>
        <w:t>data limitations. Limited open</w:t>
        <w:noBreakHyphen/>
        <w:t>access information exists for Brunei regarding school</w:t>
        <w:noBreakHyphen/>
        <w:t>level tiered</w:t>
        <w:noBreakHyphen/>
        <w:t>support instruments, referral forms and community</w:t>
        <w:noBreakHyphen/>
        <w:t>rehabilitation coverage. Analysis draws primarily from policy documents and official statements rather than granular service statistics. Future research priorities include local Bruneian qualitative studies tracking real</w:t>
        <w:noBreakHyphen/>
        <w:t>world transition pathways, family experiences across dual</w:t>
        <w:noBreakHyphen/>
        <w:t>track school settings, and cross</w:t>
        <w:noBreakHyphen/>
        <w:t>national comparative evaluations of waiting</w:t>
        <w:noBreakHyphen/>
        <w:t>period interim interventions to fill critical evidence gaps.</w:t>
      </w:r>
    </w:p>
    <w:p>
      <w:pPr>
        <w:pStyle w:val="3"/>
        <w:rPr/>
      </w:pPr>
      <w:r>
        <w:rPr/>
      </w:r>
    </w:p>
    <w:p>
      <w:pPr>
        <w:pStyle w:val="2"/>
        <w:rPr/>
      </w:pPr>
      <w:r>
        <w:rPr/>
        <w:t>References</w:t>
      </w:r>
    </w:p>
    <w:p>
      <w:pPr>
        <w:pStyle w:val="Normal"/>
        <w:rPr/>
      </w:pPr>
      <w:r>
        <w:rPr/>
        <w:t xml:space="preserve">General Office of the National Health Commission of China. (2022). </w:t>
      </w:r>
      <w:r>
        <w:rPr>
          <w:i/>
          <w:iCs/>
        </w:rPr>
        <w:t>Trial Service Specifications for Autism Screening and Intervention among Children Aged 0</w:t>
        <w:noBreakHyphen/>
        <w:t>6</w:t>
      </w:r>
      <w:r>
        <w:rPr/>
        <w:t>. Shanghai Municipal People’s Government. https://shanghai.gov.cn/rketjk1/20230627/6218ac7169794f0fab191c9486a3b0bc.html</w:t>
      </w:r>
    </w:p>
    <w:p>
      <w:pPr>
        <w:pStyle w:val="Normal"/>
        <w:rPr/>
      </w:pPr>
      <w:r>
        <w:rPr/>
        <w:t xml:space="preserve">General Office of the State Council of China. (2021). </w:t>
      </w:r>
      <w:r>
        <w:rPr>
          <w:i/>
          <w:iCs/>
        </w:rPr>
        <w:t>Notice of the General Office of the State Council Forwarding the Action Plan for Promoting High</w:t>
        <w:noBreakHyphen/>
        <w:t>Quality Development of Special Education in the 14th Five</w:t>
        <w:noBreakHyphen/>
        <w:t>Year Plan Period issued by the Ministry of Education and other Departments</w:t>
      </w:r>
      <w:r>
        <w:rPr/>
        <w:t xml:space="preserve"> (Document No. Guo Ban Fa</w:t>
      </w:r>
      <w:r>
        <w:rPr/>
        <w:t>〔</w:t>
      </w:r>
      <w:r>
        <w:rPr/>
        <w:t>2021</w:t>
      </w:r>
      <w:r>
        <w:rPr/>
        <w:t>〕</w:t>
      </w:r>
      <w:r>
        <w:rPr/>
        <w:t>No. 60). Ministry of Education of the People’s Republic of China. https://www.moe.gov.cn/jyb_xxgk/moe_1777/moe_1778/202201/t20220125_596312.html</w:t>
      </w:r>
    </w:p>
    <w:p>
      <w:pPr>
        <w:pStyle w:val="Normal"/>
        <w:rPr/>
      </w:pPr>
      <w:r>
        <w:rPr/>
        <w:t xml:space="preserve">Ministry of Education of China. (2020). </w:t>
      </w:r>
      <w:r>
        <w:rPr>
          <w:i/>
          <w:iCs/>
        </w:rPr>
        <w:t>Guiding Opinions on Strengthening In</w:t>
        <w:noBreakHyphen/>
        <w:t>Class Learning for Children and Adolescents with Disabilities during Compulsory Education</w:t>
      </w:r>
      <w:r>
        <w:rPr/>
        <w:t xml:space="preserve"> (Document No. Jiao Ji</w:t>
      </w:r>
      <w:r>
        <w:rPr/>
        <w:t>〔</w:t>
      </w:r>
      <w:r>
        <w:rPr/>
        <w:t>2020</w:t>
      </w:r>
      <w:r>
        <w:rPr/>
        <w:t>〕</w:t>
      </w:r>
      <w:r>
        <w:rPr/>
        <w:t>No. 4).</w:t>
      </w:r>
    </w:p>
    <w:p>
      <w:pPr>
        <w:pStyle w:val="Normal"/>
        <w:rPr/>
      </w:pPr>
      <w:r>
        <w:rPr/>
        <w:t xml:space="preserve">People’s Government of Shandong Province. (2022). </w:t>
      </w:r>
      <w:r>
        <w:rPr>
          <w:i/>
          <w:iCs/>
        </w:rPr>
        <w:t>Action Plan for Promoting High</w:t>
        <w:noBreakHyphen/>
        <w:t>Quality Development of Special Education in Shandong Province during the 14th Five</w:t>
        <w:noBreakHyphen/>
        <w:t>Year Plan Period</w:t>
      </w:r>
      <w:r>
        <w:rPr/>
        <w:t>. http://www.shandong.gov.cn/art/2022/8/15/art_307620_10338746.html</w:t>
      </w:r>
    </w:p>
    <w:p>
      <w:pPr>
        <w:pStyle w:val="Normal"/>
        <w:rPr/>
      </w:pPr>
      <w:r>
        <w:rPr/>
        <w:t xml:space="preserve">People’s Government of Tianjin Municipality. (2022). </w:t>
      </w:r>
      <w:r>
        <w:rPr>
          <w:i/>
          <w:iCs/>
        </w:rPr>
        <w:t>Policy Interpretation of the Implementation Plan for Promoting High</w:t>
        <w:noBreakHyphen/>
        <w:t>Quality Development of Special Education in Tianjin Municipality during the 14th Five</w:t>
        <w:noBreakHyphen/>
        <w:t>Year Plan Period</w:t>
      </w:r>
      <w:r>
        <w:rPr/>
        <w:t>. https://www.tj.gov.cn/zwgk/zcjd/202209/t20220908_5984064.html</w:t>
      </w:r>
    </w:p>
    <w:p>
      <w:pPr>
        <w:pStyle w:val="Normal"/>
        <w:rPr/>
      </w:pPr>
      <w:r>
        <w:rPr/>
        <w:t xml:space="preserve">State Council of China. (2017). </w:t>
      </w:r>
      <w:r>
        <w:rPr>
          <w:i/>
          <w:iCs/>
        </w:rPr>
        <w:t>Regulations on the Education of Persons with Disabilities</w:t>
      </w:r>
      <w:r>
        <w:rPr/>
        <w:t xml:space="preserve"> (State Council Decree No. 674). Chinese Government Web Portal. https://www.gov.cn/gongbao/content/2017/content_5178184.htm</w:t>
      </w:r>
    </w:p>
    <w:p>
      <w:pPr>
        <w:pStyle w:val="Normal"/>
        <w:rPr/>
      </w:pPr>
      <w:r>
        <w:rPr/>
        <w:t xml:space="preserve">The Paper. (2024). </w:t>
      </w:r>
      <w:r>
        <w:rPr>
          <w:i/>
          <w:iCs/>
        </w:rPr>
        <w:t>Singapore: Supporting Children with Special Needs — Up to 1,500 Additional EIPIC Places May Be Created This Year</w:t>
      </w:r>
      <w:r>
        <w:rPr/>
        <w:t>. https://m.thepaper.cn/detail/27748064</w:t>
      </w:r>
    </w:p>
    <w:p>
      <w:pPr>
        <w:pStyle w:val="Normal"/>
        <w:rPr/>
      </w:pPr>
      <w:r>
        <w:rPr/>
        <w:t xml:space="preserve">Adams, D., Osman, R., Sisavath, S., &amp; Boupha, B. (2025). Leading inclusive education initiatives: Comparative insights from Malaysia, Lao PDR, and Brunei. </w:t>
      </w:r>
      <w:r>
        <w:rPr>
          <w:i/>
          <w:iCs/>
        </w:rPr>
        <w:t>International Journal of Inclusive Education</w:t>
      </w:r>
      <w:r>
        <w:rPr/>
        <w:t>. https://doi.org/10.1080/20473869.2025.2514639</w:t>
      </w:r>
    </w:p>
    <w:p>
      <w:pPr>
        <w:pStyle w:val="Normal"/>
        <w:rPr/>
      </w:pPr>
      <w:r>
        <w:rPr/>
        <w:t xml:space="preserve">Ministry of Education Singapore. (2022, July 27). </w:t>
      </w:r>
      <w:r>
        <w:rPr>
          <w:i/>
          <w:iCs/>
        </w:rPr>
        <w:t>New vocational education curriculum for special education schools from 2023</w:t>
      </w:r>
      <w:r>
        <w:rPr/>
        <w:t>. https://www.moe.gov.sg/news/press</w:t>
        <w:noBreakHyphen/>
        <w:t>releases/20220727</w:t>
        <w:noBreakHyphen/>
        <w:t>new</w:t>
        <w:noBreakHyphen/>
        <w:t>vocational</w:t>
        <w:noBreakHyphen/>
        <w:t>education</w:t>
        <w:noBreakHyphen/>
        <w:t>curriculum</w:t>
        <w:noBreakHyphen/>
        <w:t>for</w:t>
        <w:noBreakHyphen/>
        <w:t>special</w:t>
        <w:noBreakHyphen/>
        <w:t>education</w:t>
        <w:noBreakHyphen/>
        <w:t>schools</w:t>
        <w:noBreakHyphen/>
        <w:t>from</w:t>
        <w:noBreakHyphen/>
        <w:t>2023</w:t>
      </w:r>
    </w:p>
    <w:p>
      <w:pPr>
        <w:pStyle w:val="Normal"/>
        <w:rPr/>
      </w:pPr>
      <w:r>
        <w:rPr/>
        <w:t>Ministry of Education Singapore. (n.d.</w:t>
        <w:noBreakHyphen/>
        <w:t xml:space="preserve">a). </w:t>
      </w:r>
      <w:r>
        <w:rPr>
          <w:i/>
          <w:iCs/>
        </w:rPr>
        <w:t>Admissions to SPED schools</w:t>
      </w:r>
      <w:r>
        <w:rPr/>
        <w:t>. https://www.moe.gov.sg/special</w:t>
        <w:noBreakHyphen/>
        <w:t>educational</w:t>
        <w:noBreakHyphen/>
        <w:t>needs/admissions</w:t>
        <w:noBreakHyphen/>
        <w:t>to</w:t>
        <w:noBreakHyphen/>
        <w:t>sp</w:t>
        <w:noBreakHyphen/>
        <w:t>ed</w:t>
        <w:noBreakHyphen/>
        <w:t>schools</w:t>
      </w:r>
    </w:p>
    <w:p>
      <w:pPr>
        <w:pStyle w:val="Normal"/>
        <w:rPr/>
      </w:pPr>
      <w:r>
        <w:rPr/>
        <w:t>Ministry of Education Singapore. (n.d.</w:t>
        <w:noBreakHyphen/>
        <w:t xml:space="preserve">b). </w:t>
      </w:r>
      <w:r>
        <w:rPr>
          <w:i/>
          <w:iCs/>
        </w:rPr>
        <w:t>Individual transition plan</w:t>
      </w:r>
      <w:r>
        <w:rPr/>
        <w:t>. https://www.moe.gov.sg/special</w:t>
        <w:noBreakHyphen/>
        <w:t>educational</w:t>
        <w:noBreakHyphen/>
        <w:t>needs/individual</w:t>
        <w:noBreakHyphen/>
        <w:t>transition</w:t>
        <w:noBreakHyphen/>
        <w:t>plan</w:t>
      </w:r>
    </w:p>
    <w:p>
      <w:pPr>
        <w:pStyle w:val="Normal"/>
        <w:rPr/>
      </w:pPr>
      <w:r>
        <w:rPr/>
        <w:t>Ministry of Education Singapore. (n.d.</w:t>
        <w:noBreakHyphen/>
        <w:t xml:space="preserve">c). </w:t>
      </w:r>
      <w:r>
        <w:rPr>
          <w:i/>
          <w:iCs/>
        </w:rPr>
        <w:t>Learning support programme (LSP)</w:t>
      </w:r>
      <w:r>
        <w:rPr/>
        <w:t>. https://www.moe.gov.sg/education</w:t>
        <w:noBreakHyphen/>
        <w:t>in</w:t>
        <w:noBreakHyphen/>
        <w:t>singapore/our</w:t>
        <w:noBreakHyphen/>
        <w:t>programmes/learning</w:t>
        <w:noBreakHyphen/>
        <w:t>support</w:t>
        <w:noBreakHyphen/>
        <w:t>programme</w:t>
        <w:noBreakHyphen/>
        <w:t>lsp</w:t>
      </w:r>
    </w:p>
    <w:p>
      <w:pPr>
        <w:pStyle w:val="Normal"/>
        <w:rPr/>
      </w:pPr>
      <w:r>
        <w:rPr/>
        <w:t xml:space="preserve">United Nations. (2006). </w:t>
      </w:r>
      <w:r>
        <w:rPr>
          <w:i/>
          <w:iCs/>
        </w:rPr>
        <w:t>Convention on the rights of persons with disabilities</w:t>
      </w:r>
      <w:r>
        <w:rPr/>
        <w:t>. https://www.un.org/development/desa/disabilities/convention</w:t>
        <w:noBreakHyphen/>
        <w:t>on</w:t>
        <w:noBreakHyphen/>
        <w:t>the</w:t>
        <w:noBreakHyphen/>
        <w:t>rights</w:t>
        <w:noBreakHyphen/>
        <w:t>of</w:t>
        <w:noBreakHyphen/>
        <w:t>persons</w:t>
        <w:noBreakHyphen/>
        <w:t>with</w:t>
        <w:noBreakHyphen/>
        <w:t>disabilities/</w:t>
      </w:r>
    </w:p>
    <w:p>
      <w:pPr>
        <w:pStyle w:val="Normal"/>
        <w:rPr/>
      </w:pPr>
      <w:r>
        <w:rPr/>
        <w:t>UNESCO. (n.d.</w:t>
        <w:noBreakHyphen/>
        <w:t xml:space="preserve">a). </w:t>
      </w:r>
      <w:r>
        <w:rPr>
          <w:i/>
          <w:iCs/>
        </w:rPr>
        <w:t>Brunei Darussalam: Inclusion country profile</w:t>
      </w:r>
      <w:r>
        <w:rPr/>
        <w:t>. Global Education Monitoring Report. https://www.unesco.org/gem</w:t>
        <w:noBreakHyphen/>
        <w:t>report/en/peer/country</w:t>
        <w:noBreakHyphen/>
        <w:t>overview?country=BN&amp;theme_id=inclusion</w:t>
      </w:r>
    </w:p>
    <w:p>
      <w:pPr>
        <w:pStyle w:val="Normal"/>
        <w:rPr/>
      </w:pPr>
      <w:r>
        <w:rPr/>
        <w:t>UNESCO. (n.d.</w:t>
        <w:noBreakHyphen/>
        <w:t xml:space="preserve">b). </w:t>
      </w:r>
      <w:r>
        <w:rPr>
          <w:i/>
          <w:iCs/>
        </w:rPr>
        <w:t>Malaysia: Inclusion country profile</w:t>
      </w:r>
      <w:r>
        <w:rPr/>
        <w:t>. Global Education Monitoring Report. https://www.unesco.org/gem</w:t>
        <w:noBreakHyphen/>
        <w:t>report/en/peer/country</w:t>
        <w:noBreakHyphen/>
        <w:t>overview?country=MY&amp;theme_id=inclusion</w:t>
      </w:r>
    </w:p>
    <w:p>
      <w:pPr>
        <w:pStyle w:val="Normal"/>
        <w:rPr/>
      </w:pPr>
      <w:r>
        <w:rPr/>
        <w:t xml:space="preserve">World Health Organization. (2022). </w:t>
      </w:r>
      <w:r>
        <w:rPr>
          <w:i/>
          <w:iCs/>
        </w:rPr>
        <w:t>Global report on health equity for persons with disabilities</w:t>
      </w:r>
      <w:r>
        <w:rPr/>
        <w:t>. Geneva: World Health Organization. https://www.who.int/publications/i/item/9789240054508</w:t>
      </w:r>
    </w:p>
    <w:p>
      <w:pPr>
        <w:pStyle w:val="Normal"/>
        <w:rPr/>
      </w:pPr>
      <w:r>
        <w:rPr/>
        <w:t xml:space="preserve">Xinhua. (2024a, December 1). </w:t>
      </w:r>
      <w:r>
        <w:rPr>
          <w:i/>
          <w:iCs/>
        </w:rPr>
        <w:t>Brunei launches screen use guidelines</w:t>
      </w:r>
      <w:r>
        <w:rPr/>
        <w:t>. https://www.news.cn/english/20241201/7ec6ef8ea4af4a4682e10a7fa4a807a7/c.html</w:t>
      </w:r>
    </w:p>
    <w:p>
      <w:pPr>
        <w:pStyle w:val="Normal"/>
        <w:rPr/>
      </w:pPr>
      <w:r>
        <w:rPr/>
        <w:t xml:space="preserve">Xinhua. (2024b, July 5). </w:t>
      </w:r>
      <w:r>
        <w:rPr>
          <w:i/>
          <w:iCs/>
        </w:rPr>
        <w:t>Brunei launches first special needs school</w:t>
      </w:r>
      <w:r>
        <w:rPr/>
        <w:t>. https://english.news.cn/20240705/bb8ae01147f74f01b393ccaa81f2c45c/c.html</w:t>
      </w:r>
    </w:p>
    <w:p>
      <w:pPr>
        <w:pStyle w:val="Normal"/>
        <w:rPr/>
      </w:pPr>
      <w:r>
        <w:rPr/>
        <w:t xml:space="preserve">Xinhua. (2025b, August 6). </w:t>
      </w:r>
      <w:r>
        <w:rPr>
          <w:i/>
          <w:iCs/>
        </w:rPr>
        <w:t>Brunei sees improvement in literacy skill</w:t>
      </w:r>
      <w:r>
        <w:rPr/>
        <w:t>. https://www.news.cn/english/20250806/1426467f668d4c3ab784039386eb23ab/c.html</w:t>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Times New Roman">
    <w:charset w:val="01"/>
    <w:family w:val="roman"/>
    <w:pitch w:val="variable"/>
  </w:font>
  <w:font w:name="Arial">
    <w:charset w:val="01"/>
    <w:family w:val="swiss"/>
    <w:pitch w:val="variable"/>
  </w:font>
  <w:font w:name="Noto Sans Mono CJK SC">
    <w:charset w:val="01"/>
    <w:family w:val="swiss"/>
    <w:pitch w:val="variable"/>
  </w:font>
</w:fonts>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Mono CJK SC" w:cs="Noto Sans Mono CJK SC"/>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1">
    <w:name w:val="Heading 1"/>
    <w:basedOn w:val="Style9"/>
    <w:qFormat/>
    <w:pPr>
      <w:spacing w:lineRule="auto" w:line="288" w:before="380" w:after="140"/>
      <w:ind w:left="0" w:hanging="0"/>
      <w:jc w:val="left"/>
      <w:outlineLvl w:val="0"/>
    </w:pPr>
    <w:rPr>
      <w:rFonts w:ascii="Arial" w:hAnsi="Arial" w:eastAsia="等线" w:cs="Arial"/>
      <w:b/>
      <w:bCs/>
      <w:sz w:val="36"/>
      <w:szCs w:val="36"/>
    </w:rPr>
  </w:style>
  <w:style w:type="paragraph" w:styleId="2">
    <w:name w:val="Heading 2"/>
    <w:basedOn w:val="Style9"/>
    <w:qFormat/>
    <w:pPr>
      <w:spacing w:lineRule="auto" w:line="288" w:before="320" w:after="120"/>
      <w:ind w:left="0" w:hanging="0"/>
      <w:jc w:val="left"/>
      <w:outlineLvl w:val="1"/>
    </w:pPr>
    <w:rPr>
      <w:rFonts w:ascii="Arial" w:hAnsi="Arial" w:eastAsia="等线" w:cs="Arial"/>
      <w:b/>
      <w:bCs/>
      <w:sz w:val="32"/>
      <w:szCs w:val="32"/>
    </w:rPr>
  </w:style>
  <w:style w:type="paragraph" w:styleId="3">
    <w:name w:val="Heading 3"/>
    <w:basedOn w:val="Style9"/>
    <w:qFormat/>
    <w:pPr>
      <w:spacing w:lineRule="auto" w:line="288" w:before="300" w:after="120"/>
      <w:ind w:left="0" w:hanging="0"/>
      <w:jc w:val="left"/>
      <w:outlineLvl w:val="2"/>
    </w:pPr>
    <w:rPr>
      <w:rFonts w:ascii="Arial" w:hAnsi="Arial" w:eastAsia="等线" w:cs="Arial"/>
      <w:b/>
      <w:bCs/>
      <w:sz w:val="30"/>
      <w:szCs w:val="30"/>
    </w:rPr>
  </w:style>
  <w:style w:type="paragraph" w:styleId="4">
    <w:name w:val="Heading 4"/>
    <w:basedOn w:val="Style9"/>
    <w:qFormat/>
    <w:pPr>
      <w:spacing w:lineRule="auto" w:line="288" w:before="260" w:after="120"/>
      <w:ind w:left="0" w:hanging="0"/>
      <w:jc w:val="left"/>
      <w:outlineLvl w:val="3"/>
    </w:pPr>
    <w:rPr>
      <w:rFonts w:ascii="Arial" w:hAnsi="Arial" w:eastAsia="等线" w:cs="Arial"/>
      <w:b/>
      <w:bCs/>
      <w:sz w:val="28"/>
      <w:szCs w:val="28"/>
    </w:rPr>
  </w:style>
  <w:style w:type="paragraph" w:styleId="5">
    <w:name w:val="Heading 5"/>
    <w:basedOn w:val="Style9"/>
    <w:qFormat/>
    <w:pPr>
      <w:spacing w:lineRule="auto" w:line="288" w:before="240" w:after="120"/>
      <w:ind w:left="0" w:hanging="0"/>
      <w:jc w:val="left"/>
      <w:outlineLvl w:val="4"/>
    </w:pPr>
    <w:rPr>
      <w:rFonts w:ascii="Arial" w:hAnsi="Arial" w:eastAsia="等线" w:cs="Arial"/>
      <w:b/>
      <w:bCs/>
      <w:sz w:val="24"/>
      <w:szCs w:val="24"/>
    </w:rPr>
  </w:style>
  <w:style w:type="paragraph" w:styleId="6">
    <w:name w:val="Heading 6"/>
    <w:basedOn w:val="Style9"/>
    <w:qFormat/>
    <w:pPr>
      <w:spacing w:lineRule="auto" w:line="288" w:before="240" w:after="120"/>
      <w:ind w:left="0" w:hanging="0"/>
      <w:jc w:val="left"/>
      <w:outlineLvl w:val="5"/>
    </w:pPr>
    <w:rPr>
      <w:rFonts w:ascii="Arial" w:hAnsi="Arial" w:eastAsia="等线" w:cs="Arial"/>
      <w:b/>
      <w:bCs/>
      <w:sz w:val="24"/>
      <w:szCs w:val="24"/>
    </w:rPr>
  </w:style>
  <w:style w:type="character" w:styleId="Internet">
    <w:name w:val="Internet 链接"/>
    <w:uiPriority w:val="99"/>
    <w:unhideWhenUsed/>
    <w:rPr>
      <w:color w:val="0563C1"/>
      <w:u w:val="single"/>
    </w:rPr>
  </w:style>
  <w:style w:type="character" w:styleId="Style8">
    <w:name w:val="脚注锚点"/>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paragraph" w:styleId="Style9">
    <w:name w:val="标题样式"/>
    <w:basedOn w:val="Normal"/>
    <w:next w:val="Style10"/>
    <w:qFormat/>
    <w:pPr>
      <w:keepNext w:val="true"/>
      <w:spacing w:before="240" w:after="120"/>
    </w:pPr>
    <w:rPr>
      <w:rFonts w:ascii="Noto Sans Mono CJK SC" w:hAnsi="Noto Sans Mono CJK SC" w:eastAsia="Noto Sans Mono CJK SC" w:cs="Noto Sans Mono CJK SC"/>
      <w:sz w:val="28"/>
      <w:szCs w:val="28"/>
    </w:rPr>
  </w:style>
  <w:style w:type="paragraph" w:styleId="Style10">
    <w:name w:val="Body Text"/>
    <w:basedOn w:val="Normal"/>
    <w:pPr>
      <w:spacing w:lineRule="auto" w:line="276" w:before="0" w:after="140"/>
    </w:pPr>
    <w:rPr/>
  </w:style>
  <w:style w:type="paragraph" w:styleId="Style11">
    <w:name w:val="List"/>
    <w:basedOn w:val="Style10"/>
    <w:pPr/>
    <w:rPr/>
  </w:style>
  <w:style w:type="paragraph" w:styleId="Style12">
    <w:name w:val="Caption"/>
    <w:basedOn w:val="Normal"/>
    <w:qFormat/>
    <w:pPr>
      <w:suppressLineNumbers/>
      <w:spacing w:before="120" w:after="120"/>
    </w:pPr>
    <w:rPr>
      <w:i/>
      <w:iCs/>
      <w:sz w:val="24"/>
      <w:szCs w:val="24"/>
    </w:rPr>
  </w:style>
  <w:style w:type="paragraph" w:styleId="Style13">
    <w:name w:val="索引"/>
    <w:basedOn w:val="Normal"/>
    <w:qFormat/>
    <w:pPr>
      <w:suppressLineNumbers/>
    </w:pPr>
    <w:rPr>
      <w:lang w:val="zxx" w:eastAsia="zxx" w:bidi="zxx"/>
    </w:rPr>
  </w:style>
  <w:style w:type="paragraph" w:styleId="Style14">
    <w:name w:val="Title"/>
    <w:basedOn w:val="Style9"/>
    <w:qFormat/>
    <w:pPr>
      <w:spacing w:lineRule="auto" w:line="288" w:before="480" w:after="480"/>
      <w:ind w:left="0" w:hanging="0"/>
    </w:pPr>
    <w:rPr>
      <w:rFonts w:ascii="Arial" w:hAnsi="Arial" w:eastAsia="等线" w:cs="Arial"/>
      <w:b/>
      <w:bCs/>
      <w:sz w:val="52"/>
      <w:szCs w:val="52"/>
    </w:rPr>
  </w:style>
  <w:style w:type="paragraph" w:styleId="Strong">
    <w:name w:val="Strong"/>
    <w:qFormat/>
    <w:pPr>
      <w:widowControl/>
      <w:bidi w:val="0"/>
      <w:spacing w:before="0" w:after="0"/>
      <w:jc w:val="left"/>
    </w:pPr>
    <w:rPr>
      <w:rFonts w:ascii="Times New Roman" w:hAnsi="Times New Roman" w:eastAsia="Noto Sans Mono CJK SC" w:cs="Noto Sans Mono CJK SC"/>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Style15">
    <w:name w:val="Footnote Text"/>
    <w:basedOn w:val="Normal"/>
    <w:link w:val="FootnoteTextChar"/>
    <w:uiPriority w:val="99"/>
    <w:semiHidden/>
    <w:unhideWhenUsed/>
    <w:pPr>
      <w:spacing w:lineRule="auto" w:line="240" w:before="0" w:after="0"/>
    </w:pPr>
    <w:rPr>
      <w:sz w:val="20"/>
      <w:szCs w:val="20"/>
    </w:rPr>
  </w:style>
  <w:style w:type="paragraph" w:styleId="Style16">
    <w:name w:val="表格内容"/>
    <w:basedOn w:val="Normal"/>
    <w:qFormat/>
    <w:pPr>
      <w:widowControl w:val="false"/>
      <w:suppressLineNumbers/>
    </w:pPr>
    <w:rPr/>
  </w:style>
  <w:style w:type="paragraph" w:styleId="Style17">
    <w:name w:val="表格标题"/>
    <w:basedOn w:val="Style16"/>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LibreOfficeDev/7.3.1.3.0$Android_AARCH64 LibreOffice_project/</Application>
  <AppVersion>15.0000</AppVersion>
  <Pages>11</Pages>
  <Words>3102</Words>
  <Characters>24544</Characters>
  <CharactersWithSpaces>27544</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2026-09-14T11:57:59Z</dcterms:created>
  <dc:creator>Un-named</dc:creator>
  <dc:description/>
  <dc:language>zh-CN</dc:language>
  <cp:lastModifiedBy/>
  <dcterms:modified xsi:type="dcterms:W3CDTF">2026-09-14T20:00:24Z</dcterms:modified>
  <cp:revision>2</cp:revision>
  <dc:subject/>
  <dc:title/>
</cp:coreProperties>
</file>