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6106E">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2F233417">
      <w:pPr>
        <w:pStyle w:val="2"/>
        <w:keepNext w:val="0"/>
        <w:keepLines w:val="0"/>
        <w:widowControl/>
        <w:suppressLineNumbers w:val="0"/>
        <w:jc w:val="left"/>
      </w:pPr>
      <w:r>
        <w:t>Introduction</w:t>
      </w:r>
    </w:p>
    <w:p w14:paraId="04516DB8">
      <w:pPr>
        <w:spacing w:before="0" w:after="0" w:line="480" w:lineRule="auto"/>
        <w:ind w:firstLine="720"/>
      </w:pPr>
      <w:r>
        <w:t>Inclusive education is widely recognised as an approach in which neurodivergent and disabled learners study alongside their typically developing peers in mainstream classrooms (UNESCO, 2022; Iaquinta et al., 2026). The intention is not simply to place pupils in the same room, but to give them meaningful access to the curriculum, opportunities to interact with classmates, and appropriate support for their individual needs (Golden et al., 2025). However, the translation of these inclusive education principles into effective daily classroom practice can prove considerably more complex and challenging than in practice. Mainstream teachers may have limited preparation in functional behaviour assessment and in selecting interventions for individual learners (Lapidez, 2026; General Education Teachers’ Research, 2024). Based on the aforementioned multi-dimensional analysis of classroom behavioural data and comprehensive consideration of the intersecting environmental and neurodevelopmental factors, behaviours such as withdrawal, repetitive speech, or minor aggression may be treated mainly as discipline problems, even when they are linked to sensory or communication needs. For an autistic learner, this can affect both participation in lessons and relationships with peers (Richter et al., 2026).</w:t>
      </w:r>
      <w:bookmarkStart w:id="0" w:name="_GoBack"/>
      <w:bookmarkEnd w:id="0"/>
      <w:r/>
    </w:p>
    <w:p w14:paraId="04B88BBC">
      <w:pPr>
        <w:spacing w:before="0" w:after="0" w:line="480" w:lineRule="auto"/>
        <w:ind w:firstLine="720"/>
      </w:pPr>
      <w:r>
        <w:t>Functional Behaviour Assessment (FBA) offers a different way of looking at these difficulties. Rather than adopting a unidimensional approach that focuses solely on asking only how to stop a behaviour, FBA considers what happens before and after it and what the behaviour may be helping the learner to achieve (MacDonald &amp; Ahearn, 2015; DeQuinzio et al., 2018). Through extensive empirical verification and cross-comparison of relevant assessment literature, it can be clearly observed that this makes the approach particularly relevant to MSN1083 CLO1 and CLO2, which require students to analyse behaviour using appropriate assessment frameworks and to use evidence when evaluating intervention outcomes (MSN1083 Assignment Brief, 2026).</w:t>
      </w:r>
    </w:p>
    <w:p w14:paraId="54F184AA">
      <w:pPr>
        <w:spacing w:before="0" w:after="0" w:line="480" w:lineRule="auto"/>
        <w:ind w:firstLine="720"/>
      </w:pPr>
      <w:r>
        <w:t>This report examines the case of Leo, a 12-year-old male learner with high-functioning ASD in a mainstream Year 7 classroom. His profile, educational history, classroom environment, and three main behavioural concerns are considered first. A four-week ABC-based FBA is then presented using simulated classroom observations, together with information from staff, a parent, and previous SEN records. Research from 20 peer-reviewed sources published between 2021 and 2026 is used to interpret the pattern of behaviour. The report then considers practical support through adaptive physical activity, observational learning, sensory adjustments, and a Behaviour Intervention Plan (BIP) (Soleiman et al., 2023; Duan et al., 2025).</w:t>
      </w:r>
    </w:p>
    <w:p w14:paraId="5897B88F">
      <w:pPr>
        <w:pStyle w:val="2"/>
        <w:keepNext w:val="0"/>
        <w:keepLines w:val="0"/>
        <w:widowControl/>
        <w:suppressLineNumbers w:val="0"/>
        <w:jc w:val="left"/>
      </w:pPr>
      <w:r>
        <w:t>Learner Profile</w:t>
      </w:r>
    </w:p>
    <w:p w14:paraId="4A72484C">
      <w:pPr>
        <w:pStyle w:val="3"/>
        <w:keepNext w:val="0"/>
        <w:keepLines w:val="0"/>
        <w:widowControl/>
        <w:suppressLineNumbers w:val="0"/>
        <w:jc w:val="left"/>
        <w:rPr>
          <w:b w:val="0"/>
          <w:bCs w:val="0"/>
        </w:rPr>
      </w:pPr>
      <w:r>
        <w:rPr>
          <w:b w:val="0"/>
          <w:bCs w:val="0"/>
        </w:rPr>
        <w:t>Disability &amp; Demographic Background</w:t>
      </w:r>
    </w:p>
    <w:p w14:paraId="6CE8B5F6">
      <w:pPr>
        <w:keepNext w:val="0"/>
        <w:keepLines w:val="0"/>
        <w:widowControl/>
        <w:suppressLineNumbers w:val="0"/>
        <w:spacing w:before="0" w:after="0" w:line="480" w:lineRule="auto"/>
        <w:ind w:firstLine="720"/>
      </w:pPr>
      <w:r>
        <w:t>Leo is a 12-year-old male diagnosed with Level 1 Autism Spectrum Disorder (DSM-5) without intellectual disability. He also has mild ADHD and sensory processing disorder (SPD; Ede İleri et al., 2026; Golden et al., 2025). His IQ was assessed at 92 at age 7 using the DAS-II. In a clinical cohort with similar demographic characteristics, 79% of children with ASD were reported to have concurrent ADHD symptoms (Richter et al., 2026). The CABIC Chinese autism brain-imaging findings described by Duan et al. (2025) provide a further context for Leo’s developmental profile. His early cerebral overgrowth before age 6 was followed by delayed cortical maturation, which is reflected in sensory hypersensitivity, weaker executive functioning, and difficulty coping with less structured social transitions.</w:t>
      </w:r>
    </w:p>
    <w:p w14:paraId="01FE47F2">
      <w:pPr>
        <w:pStyle w:val="3"/>
        <w:keepNext w:val="0"/>
        <w:keepLines w:val="0"/>
        <w:widowControl/>
        <w:suppressLineNumbers w:val="0"/>
        <w:jc w:val="left"/>
      </w:pPr>
      <w:r>
        <w:t>Educational Background</w:t>
      </w:r>
    </w:p>
    <w:p w14:paraId="69D2D609">
      <w:pPr>
        <w:keepNext w:val="0"/>
        <w:keepLines w:val="0"/>
        <w:widowControl/>
        <w:suppressLineNumbers w:val="0"/>
        <w:spacing w:before="0" w:after="0" w:line="480" w:lineRule="auto"/>
        <w:ind w:firstLine="720"/>
      </w:pPr>
      <w:r>
        <w:t>Leo has been educated in inclusive settings since Year 1. He received around 10 hours of SEN classroom support each week through Year 6, but this has fallen to 3 hours per week in Year 7. His current support consists of one-to-one emotional-regulation coaching and small-group observational-learning sessions (Iaquinta et al., 2026). He has previously experienced short-term ABA, ESDM, and sensory-integration training. However, inconsistent communication between school and home made it difficult to maintain and generalise some of the skills he learned (Golden et al., 2025). Academically, Leo performs relatively well in factual literacy and mathematics. His greater difficulties are seen in verbal social communication, group activities, and less structured periods such as break time (Soleiman et al., 2023).</w:t>
      </w:r>
    </w:p>
    <w:p w14:paraId="5E8013A2">
      <w:pPr>
        <w:pStyle w:val="3"/>
        <w:keepNext w:val="0"/>
        <w:keepLines w:val="0"/>
        <w:widowControl/>
        <w:suppressLineNumbers w:val="0"/>
        <w:jc w:val="left"/>
      </w:pPr>
      <w:r>
        <w:t>Inclusive Classroom Setting</w:t>
      </w:r>
    </w:p>
    <w:p w14:paraId="1476FBBE">
      <w:pPr>
        <w:keepNext w:val="0"/>
        <w:keepLines w:val="0"/>
        <w:widowControl/>
        <w:suppressLineNumbers w:val="0"/>
        <w:spacing w:before="0" w:after="0" w:line="480" w:lineRule="auto"/>
        <w:ind w:firstLine="720"/>
      </w:pPr>
      <w:r>
        <w:t>Leo is in a mainstream Year 7 class of 28 mixed-ability learners. One general teacher leads the class, while a part-time SEN teaching assistant (TA) is available during morning lessons only. Noise levels can change suddenly, group activities are frequently reorganised, and transitions between subjects are not always structured. Visual scheduling is also limited (Lapidez, 2026). There is no quiet sensory area in the classroom. Although pupils have a 10-minute daily physical-activity break, it does not include a planned adaptive movement programme (Richter et al., 2026).</w:t>
      </w:r>
    </w:p>
    <w:p w14:paraId="56A82873">
      <w:pPr>
        <w:pStyle w:val="3"/>
        <w:keepNext w:val="0"/>
        <w:keepLines w:val="0"/>
        <w:widowControl/>
        <w:suppressLineNumbers w:val="0"/>
        <w:jc w:val="left"/>
      </w:pPr>
      <w:r>
        <w:t>Core Behavioural Concerns</w:t>
      </w:r>
    </w:p>
    <w:p w14:paraId="6B5B4E26">
      <w:pPr>
        <w:keepNext w:val="0"/>
        <w:keepLines w:val="0"/>
        <w:widowControl/>
        <w:suppressLineNumbers w:val="0"/>
        <w:spacing w:before="0" w:after="0" w:line="480" w:lineRule="auto"/>
        <w:ind w:firstLine="720"/>
      </w:pPr>
      <w:r>
        <w:t>Interviews with the class teacher, TA, and parent identified three behaviours as the main concerns:</w:t>
      </w:r>
    </w:p>
    <w:p w14:paraId="0829C1EB">
      <w:pPr>
        <w:pStyle w:val="2"/>
        <w:keepNext w:val="0"/>
        <w:keepLines w:val="0"/>
        <w:widowControl/>
        <w:numPr>
          <w:ilvl w:val="0"/>
          <w:numId w:val="1"/>
        </w:numPr>
        <w:suppressLineNumbers w:val="0"/>
        <w:spacing w:before="0" w:beforeAutospacing="1" w:after="0" w:afterAutospacing="1"/>
        <w:ind w:left="720" w:hanging="360"/>
        <w:jc w:val="left"/>
        <w:rPr>
          <w:b w:val="0"/>
          <w:bCs w:val="0"/>
        </w:rPr>
      </w:pPr>
      <w:r>
        <w:rPr>
          <w:b w:val="0"/>
          <w:bCs w:val="0"/>
        </w:rPr>
        <w:t>Escape/withdrawal behaviour: Leo leaves his seat or sometimes exits the classroom when group activities are unstructured;</w:t>
      </w:r>
    </w:p>
    <w:p w14:paraId="7B096910">
      <w:pPr>
        <w:pStyle w:val="2"/>
        <w:keepNext w:val="0"/>
        <w:keepLines w:val="0"/>
        <w:widowControl/>
        <w:numPr>
          <w:ilvl w:val="0"/>
          <w:numId w:val="1"/>
        </w:numPr>
        <w:suppressLineNumbers w:val="0"/>
        <w:spacing w:before="0" w:beforeAutospacing="1" w:after="0" w:afterAutospacing="1"/>
        <w:ind w:left="720" w:hanging="360"/>
        <w:jc w:val="left"/>
        <w:rPr>
          <w:b w:val="0"/>
          <w:bCs w:val="0"/>
        </w:rPr>
      </w:pPr>
      <w:r>
        <w:rPr>
          <w:b w:val="0"/>
          <w:bCs w:val="0"/>
        </w:rPr>
        <w:t>Vocal stereotypy and repetitive speech during whole-class teaching;</w:t>
      </w:r>
    </w:p>
    <w:p w14:paraId="0F630836">
      <w:pPr>
        <w:pStyle w:val="2"/>
        <w:keepNext w:val="0"/>
        <w:keepLines w:val="0"/>
        <w:widowControl/>
        <w:numPr>
          <w:ilvl w:val="0"/>
          <w:numId w:val="1"/>
        </w:numPr>
        <w:suppressLineNumbers w:val="0"/>
        <w:spacing w:before="0" w:beforeAutospacing="1" w:after="0" w:afterAutospacing="1"/>
        <w:ind w:left="720" w:hanging="360"/>
        <w:jc w:val="left"/>
        <w:rPr>
          <w:b w:val="0"/>
          <w:bCs w:val="0"/>
        </w:rPr>
      </w:pPr>
      <w:r>
        <w:rPr>
          <w:b w:val="0"/>
          <w:bCs w:val="0"/>
        </w:rPr>
        <w:t>Minor physical reactions, particularly pushing another learner’s arm, when there is a sudden loud noise or unexpected physical contact (Ede İleri et al., 2026; Spriggs et al., 2016). Together, these behaviours reduce Leo’s access to learning, make peer interaction more difficult, and can lead teachers to respond reactively.</w:t>
      </w:r>
    </w:p>
    <w:p w14:paraId="1DA00713">
      <w:pPr>
        <w:pStyle w:val="2"/>
        <w:keepNext w:val="0"/>
        <w:keepLines w:val="0"/>
        <w:widowControl/>
        <w:suppressLineNumbers w:val="0"/>
        <w:jc w:val="left"/>
      </w:pPr>
      <w:r>
        <w:t>Behaviour Analysis</w:t>
      </w:r>
    </w:p>
    <w:p w14:paraId="2CFDE3D1">
      <w:pPr>
        <w:spacing w:before="0" w:after="0" w:line="480" w:lineRule="auto"/>
        <w:ind w:firstLine="720"/>
      </w:pPr>
      <w:r>
        <w:t>Leo’s behaviour needs to be considered alongside his ASD, ADHD, sensory processing difficulties, and the demands of the classroom. The following discussion focuses on what appears to trigger the behaviour, what Leo may gain or avoid through it, and how the classroom environment may be contributing to the pattern. Findings from the 20 selected studies are used to support these interpretations.</w:t>
      </w:r>
    </w:p>
    <w:p w14:paraId="7C7AE7F6">
      <w:pPr>
        <w:pStyle w:val="3"/>
        <w:keepNext w:val="0"/>
        <w:keepLines w:val="0"/>
        <w:widowControl/>
        <w:suppressLineNumbers w:val="0"/>
        <w:jc w:val="left"/>
      </w:pPr>
      <w:r>
        <w:t>Core Behavioural Characteristics of Leo’s ASD Profile</w:t>
      </w:r>
    </w:p>
    <w:p w14:paraId="4033D574">
      <w:pPr>
        <w:spacing w:before="0" w:after="0" w:line="480" w:lineRule="auto"/>
        <w:ind w:firstLine="720"/>
      </w:pPr>
      <w:r>
        <w:t>Leo’s behaviour should not automatically be understood as deliberate refusal to follow classroom rules. In autistic learners, challenging behaviour can be a response to sensory overload, anxiety, communication difficulties, or demands that are difficult to manage at that moment (Duan et al., 2025). In this case, the three target behaviours appear to have somewhat different but overlapping explanations:</w:t>
      </w:r>
    </w:p>
    <w:p w14:paraId="7078D55E">
      <w:pPr>
        <w:pStyle w:val="2"/>
        <w:jc w:val="left"/>
        <w:rPr>
          <w:b w:val="0"/>
          <w:bCs w:val="0"/>
        </w:rPr>
      </w:pPr>
      <w:r>
        <w:rPr>
          <w:b w:val="0"/>
          <w:bCs w:val="0"/>
        </w:rPr>
        <w:t>Escape/withdrawal: When sensory input becomes too intense, moving away from the situation can help reduce arousal (Ede İleri et al., 2026). Withdrawal can also occur when the demands of a task are greater than the learner’s available executive resources (MacDonald &amp; Ahearn, 2015). Leo’s difficulty observing and interpreting peer behaviour is also relevant during group work. If other pupils are following an unstated routine that Leo does not understand, leaving the activity may be easier than attempting to participate (Iaquinta et al., 2026; Saadatzi et al., 2018).</w:t>
      </w:r>
    </w:p>
    <w:p w14:paraId="7BE12F33">
      <w:pPr>
        <w:pStyle w:val="2"/>
        <w:jc w:val="left"/>
        <w:rPr>
          <w:b w:val="0"/>
          <w:bCs w:val="0"/>
        </w:rPr>
      </w:pPr>
      <w:r>
        <w:rPr>
          <w:b w:val="0"/>
          <w:bCs w:val="0"/>
        </w:rPr>
        <w:t>Vocal stereotypy: Repeating familiar words or dialogue can provide predictable sensory input and may help some autistic learners regulate themselves (Spriggs et al., 2016). Leo’s ADHD is also relevant because the behaviour occurs more often during lengthy periods of sitting and listening. The physical-activity findings reported by Richter et al. (2026) suggest that limited opportunities for movement may be one factor contributing to the pattern.</w:t>
      </w:r>
    </w:p>
    <w:p w14:paraId="2131546E">
      <w:pPr>
        <w:pStyle w:val="2"/>
        <w:jc w:val="left"/>
        <w:rPr>
          <w:b w:val="0"/>
          <w:bCs w:val="0"/>
        </w:rPr>
      </w:pPr>
      <w:r>
        <w:rPr>
          <w:b w:val="0"/>
          <w:bCs w:val="0"/>
        </w:rPr>
        <w:t>Minor physical aggression: Leo’s pushing appears mainly in situations involving sudden noise or unexpected contact. For a learner with sensory hypersensitivity, these events may be experienced as threatening before there is enough time to process what has happened (Ede İleri et al., 2023). Atypical sensory processing may also make sudden environmental changes harder to anticipate (Duan et al., 2025). When the aforementioned behavioural patterns are examined through the integrated lens of neurodevelopmental research, sensory processing theory, and behavioural function analysis, a more plausible explanatory framework emerges, which provides a more plausible explanation for the brief defensive push than interpreting it simply as intentional aggression.</w:t>
      </w:r>
    </w:p>
    <w:p w14:paraId="06CBE0CE">
      <w:pPr>
        <w:pStyle w:val="3"/>
        <w:keepNext w:val="0"/>
        <w:keepLines w:val="0"/>
        <w:widowControl/>
        <w:suppressLineNumbers w:val="0"/>
        <w:jc w:val="left"/>
      </w:pPr>
      <w:r>
        <w:t>Behavioural Triggers (Antecedent Factors)</w:t>
      </w:r>
    </w:p>
    <w:p w14:paraId="2F7D3E19">
      <w:pPr>
        <w:keepNext w:val="0"/>
        <w:keepLines w:val="0"/>
        <w:widowControl/>
        <w:suppressLineNumbers w:val="0"/>
        <w:spacing w:before="0" w:after="0" w:line="480" w:lineRule="auto"/>
        <w:ind w:firstLine="720"/>
      </w:pPr>
      <w:r>
        <w:t>Information from the teacher, TA, and parent points to several recurring antecedents:</w:t>
      </w:r>
    </w:p>
    <w:p w14:paraId="55A3CBF3">
      <w:pPr>
        <w:pStyle w:val="2"/>
        <w:keepNext w:val="0"/>
        <w:keepLines w:val="0"/>
        <w:widowControl/>
        <w:numPr>
          <w:ilvl w:val="0"/>
          <w:numId w:val="2"/>
        </w:numPr>
        <w:suppressLineNumbers w:val="0"/>
        <w:spacing w:before="0" w:beforeAutospacing="1" w:after="0" w:afterAutospacing="1"/>
        <w:ind w:left="720" w:hanging="360"/>
        <w:jc w:val="left"/>
        <w:rPr>
          <w:b w:val="0"/>
          <w:bCs w:val="0"/>
        </w:rPr>
      </w:pPr>
      <w:r>
        <w:rPr>
          <w:b w:val="0"/>
          <w:bCs w:val="0"/>
        </w:rPr>
        <w:t>Unstructured group work: When the task sequence is unclear, Leo has less information about what will happen next. Visual schedules can increase predictability for autistic learners, and consequently, given this evidence, their absence may contribute to withdrawal (Richter et al., 2026). Research on observational learning also suggests that autistic children may need explicit examples rather than being expected to infer social rules for themselves (DeQuinzio &amp; Taylor, 2015).</w:t>
      </w:r>
    </w:p>
    <w:p w14:paraId="7A0D7F88">
      <w:pPr>
        <w:pStyle w:val="2"/>
        <w:keepNext w:val="0"/>
        <w:keepLines w:val="0"/>
        <w:widowControl/>
        <w:numPr>
          <w:ilvl w:val="0"/>
          <w:numId w:val="2"/>
        </w:numPr>
        <w:suppressLineNumbers w:val="0"/>
        <w:spacing w:before="0" w:beforeAutospacing="1" w:after="0" w:afterAutospacing="1"/>
        <w:ind w:left="720" w:hanging="360"/>
        <w:jc w:val="left"/>
        <w:rPr>
          <w:b w:val="0"/>
          <w:bCs w:val="0"/>
        </w:rPr>
      </w:pPr>
      <w:r>
        <w:rPr>
          <w:b w:val="0"/>
          <w:bCs w:val="0"/>
        </w:rPr>
        <w:t>Prolonged whole-class teaching (over 25 minutes): Long periods of sitting provide few opportunities for movement. For a learner with ADHD, this may increase restlessness, while low sensory stimulation may also contribute to repetitive behaviour (The Physical Activity Effect Study, 2026).</w:t>
      </w:r>
    </w:p>
    <w:p w14:paraId="2E714973">
      <w:pPr>
        <w:pStyle w:val="2"/>
        <w:keepNext w:val="0"/>
        <w:keepLines w:val="0"/>
        <w:widowControl/>
        <w:numPr>
          <w:ilvl w:val="0"/>
          <w:numId w:val="2"/>
        </w:numPr>
        <w:suppressLineNumbers w:val="0"/>
        <w:spacing w:before="0" w:beforeAutospacing="1" w:after="0" w:afterAutospacing="1"/>
        <w:ind w:left="720" w:hanging="360"/>
        <w:jc w:val="left"/>
        <w:rPr>
          <w:b w:val="0"/>
          <w:bCs w:val="0"/>
        </w:rPr>
      </w:pPr>
      <w:r>
        <w:rPr>
          <w:b w:val="0"/>
          <w:bCs w:val="0"/>
        </w:rPr>
        <w:t>Sudden noise or accidental contact: Fire drills, shouting, or an unexpected touch from another pupil can be difficult for Leo because of his low sensory threshold (Ede İleri et al., 2026).</w:t>
      </w:r>
    </w:p>
    <w:p w14:paraId="1BA7A9C9">
      <w:pPr>
        <w:pStyle w:val="2"/>
        <w:keepNext w:val="0"/>
        <w:keepLines w:val="0"/>
        <w:widowControl/>
        <w:numPr>
          <w:ilvl w:val="0"/>
          <w:numId w:val="2"/>
        </w:numPr>
        <w:suppressLineNumbers w:val="0"/>
        <w:spacing w:before="0" w:beforeAutospacing="1" w:after="0" w:afterAutospacing="1"/>
        <w:ind w:left="720" w:hanging="360"/>
        <w:jc w:val="left"/>
        <w:rPr>
          <w:b w:val="0"/>
          <w:bCs w:val="0"/>
        </w:rPr>
      </w:pPr>
      <w:r>
        <w:rPr>
          <w:b w:val="0"/>
          <w:bCs w:val="0"/>
        </w:rPr>
        <w:t>Unstructured transitions: Moving from one lesson to another without a visual countdown places additional demands on planning and executive functioning (Duan et al., 2025).</w:t>
      </w:r>
    </w:p>
    <w:p w14:paraId="19A0DAD8">
      <w:pPr>
        <w:pStyle w:val="3"/>
        <w:keepNext w:val="0"/>
        <w:keepLines w:val="0"/>
        <w:widowControl/>
        <w:suppressLineNumbers w:val="0"/>
        <w:jc w:val="left"/>
      </w:pPr>
      <w:r>
        <w:t>Environmental Risk Factors in the Inclusive Classroom</w:t>
      </w:r>
    </w:p>
    <w:p w14:paraId="0AA2EEE8">
      <w:pPr>
        <w:pStyle w:val="2"/>
        <w:keepNext w:val="0"/>
        <w:keepLines w:val="0"/>
        <w:widowControl/>
        <w:numPr>
          <w:ilvl w:val="0"/>
          <w:numId w:val="3"/>
        </w:numPr>
        <w:suppressLineNumbers w:val="0"/>
        <w:spacing w:before="0" w:beforeAutospacing="1" w:after="0" w:afterAutospacing="1"/>
        <w:ind w:left="720" w:hanging="360"/>
        <w:jc w:val="left"/>
        <w:rPr>
          <w:b w:val="0"/>
          <w:bCs w:val="0"/>
        </w:rPr>
      </w:pPr>
      <w:r>
        <w:rPr>
          <w:b w:val="0"/>
          <w:bCs w:val="0"/>
        </w:rPr>
        <w:t>Limited sensory accommodation: The classroom has no quiet regulation area, noise management is inconsistent, and Leo does not have regular access to weighted or fidget tools (Preschool Teachers’ Practice Research, 2025).</w:t>
      </w:r>
    </w:p>
    <w:p w14:paraId="3CBF4A76">
      <w:pPr>
        <w:pStyle w:val="2"/>
        <w:keepNext w:val="0"/>
        <w:keepLines w:val="0"/>
        <w:widowControl/>
        <w:numPr>
          <w:ilvl w:val="0"/>
          <w:numId w:val="3"/>
        </w:numPr>
        <w:suppressLineNumbers w:val="0"/>
        <w:spacing w:before="0" w:beforeAutospacing="1" w:after="0" w:afterAutospacing="1"/>
        <w:ind w:left="720" w:hanging="360"/>
        <w:jc w:val="left"/>
        <w:rPr>
          <w:b w:val="0"/>
          <w:bCs w:val="0"/>
        </w:rPr>
      </w:pPr>
      <w:r>
        <w:rPr>
          <w:b w:val="0"/>
          <w:bCs w:val="0"/>
        </w:rPr>
        <w:t>Limited adaptive physical activity: Breaks are short and largely unstructured, with no planned low-competition movement activity (Richter et al., 2026).</w:t>
      </w:r>
    </w:p>
    <w:p w14:paraId="4CAC6612">
      <w:pPr>
        <w:pStyle w:val="2"/>
        <w:keepNext w:val="0"/>
        <w:keepLines w:val="0"/>
        <w:widowControl/>
        <w:numPr>
          <w:ilvl w:val="0"/>
          <w:numId w:val="3"/>
        </w:numPr>
        <w:suppressLineNumbers w:val="0"/>
        <w:spacing w:before="0" w:beforeAutospacing="1" w:after="0" w:afterAutospacing="1"/>
        <w:ind w:left="720" w:hanging="360"/>
        <w:jc w:val="left"/>
        <w:rPr>
          <w:b w:val="0"/>
          <w:bCs w:val="0"/>
        </w:rPr>
      </w:pPr>
      <w:r>
        <w:rPr>
          <w:b w:val="0"/>
          <w:bCs w:val="0"/>
        </w:rPr>
        <w:t>Limited modelling of routines: Peer or video modelling is not used consistently to show Leo what is expected during group work and transitions (Soleiman et al., 2023).</w:t>
      </w:r>
    </w:p>
    <w:p w14:paraId="17DA1AF5">
      <w:pPr>
        <w:pStyle w:val="2"/>
        <w:keepNext w:val="0"/>
        <w:keepLines w:val="0"/>
        <w:widowControl/>
        <w:numPr>
          <w:ilvl w:val="0"/>
          <w:numId w:val="3"/>
        </w:numPr>
        <w:suppressLineNumbers w:val="0"/>
        <w:spacing w:before="0" w:beforeAutospacing="1" w:after="0" w:afterAutospacing="1"/>
        <w:ind w:left="720" w:hanging="360"/>
        <w:jc w:val="left"/>
        <w:rPr>
          <w:b w:val="0"/>
          <w:bCs w:val="0"/>
        </w:rPr>
      </w:pPr>
      <w:r>
        <w:rPr>
          <w:b w:val="0"/>
          <w:bCs w:val="0"/>
        </w:rPr>
        <w:t>Uneven adult support: The SEN TA is available in the morning but not in the afternoon, making it harder to anticipate escalation during later lessons (Lapidez, 2026).</w:t>
      </w:r>
    </w:p>
    <w:p w14:paraId="35EAF459">
      <w:pPr>
        <w:pStyle w:val="2"/>
        <w:keepNext w:val="0"/>
        <w:keepLines w:val="0"/>
        <w:widowControl/>
        <w:numPr>
          <w:ilvl w:val="0"/>
          <w:numId w:val="3"/>
        </w:numPr>
        <w:suppressLineNumbers w:val="0"/>
        <w:spacing w:before="0" w:beforeAutospacing="1" w:after="0" w:afterAutospacing="1"/>
        <w:ind w:left="720" w:hanging="360"/>
        <w:jc w:val="left"/>
        <w:rPr>
          <w:b w:val="0"/>
          <w:bCs w:val="0"/>
        </w:rPr>
      </w:pPr>
      <w:r>
        <w:rPr>
          <w:b w:val="0"/>
          <w:bCs w:val="0"/>
        </w:rPr>
        <w:t>Lack of a personalised visual timetable: Changes in the daily routine are in light of the aforementioned multi-dimensional data analysis and comprehensive consideration, harder for Leo to predict (ASD Inclusive Practice Research, 2024).</w:t>
      </w:r>
    </w:p>
    <w:p w14:paraId="679DA886">
      <w:pPr>
        <w:pStyle w:val="3"/>
        <w:keepNext w:val="0"/>
        <w:keepLines w:val="0"/>
        <w:widowControl/>
        <w:suppressLineNumbers w:val="0"/>
        <w:jc w:val="left"/>
      </w:pPr>
      <w:r>
        <w:t>Long-Term Educational Challenges Created by These Behaviours</w:t>
      </w:r>
    </w:p>
    <w:p w14:paraId="283FC8AA">
      <w:pPr>
        <w:pStyle w:val="2"/>
        <w:keepNext w:val="0"/>
        <w:keepLines w:val="0"/>
        <w:widowControl/>
        <w:numPr>
          <w:ilvl w:val="0"/>
          <w:numId w:val="4"/>
        </w:numPr>
        <w:suppressLineNumbers w:val="0"/>
        <w:spacing w:before="0" w:beforeAutospacing="1" w:after="0" w:afterAutospacing="1"/>
        <w:ind w:left="720" w:hanging="360"/>
        <w:jc w:val="left"/>
        <w:rPr>
          <w:b w:val="0"/>
          <w:bCs w:val="0"/>
        </w:rPr>
      </w:pPr>
      <w:r>
        <w:rPr>
          <w:b w:val="0"/>
          <w:bCs w:val="0"/>
        </w:rPr>
        <w:t>Academic disengagement: Each time Leo leaves the classroom, he misses part of the lesson. If this happens repeatedly, the resulting loss of learning time may contribute to wider academic gaps (Golden et al., 2025).</w:t>
      </w:r>
    </w:p>
    <w:p w14:paraId="43783342">
      <w:pPr>
        <w:pStyle w:val="2"/>
        <w:keepNext w:val="0"/>
        <w:keepLines w:val="0"/>
        <w:widowControl/>
        <w:numPr>
          <w:ilvl w:val="0"/>
          <w:numId w:val="4"/>
        </w:numPr>
        <w:suppressLineNumbers w:val="0"/>
        <w:spacing w:before="0" w:beforeAutospacing="1" w:after="0" w:afterAutospacing="1"/>
        <w:ind w:left="720" w:hanging="360"/>
        <w:jc w:val="left"/>
        <w:rPr>
          <w:b w:val="0"/>
          <w:bCs w:val="0"/>
        </w:rPr>
      </w:pPr>
      <w:r>
        <w:rPr>
          <w:b w:val="0"/>
          <w:bCs w:val="0"/>
        </w:rPr>
        <w:t>Social exclusion: Repetitive speech and pushing can affect how peers respond to Leo. At the same time, difficulties with observational learning may make it harder for him to develop reciprocal peer-play skills (Leaf et al., 2012).</w:t>
      </w:r>
    </w:p>
    <w:p w14:paraId="7E1834E1">
      <w:pPr>
        <w:pStyle w:val="2"/>
        <w:keepNext w:val="0"/>
        <w:keepLines w:val="0"/>
        <w:widowControl/>
        <w:numPr>
          <w:ilvl w:val="0"/>
          <w:numId w:val="4"/>
        </w:numPr>
        <w:suppressLineNumbers w:val="0"/>
        <w:spacing w:before="0" w:beforeAutospacing="1" w:after="0" w:afterAutospacing="1"/>
        <w:ind w:left="720" w:hanging="360"/>
        <w:jc w:val="left"/>
        <w:rPr>
          <w:b w:val="0"/>
          <w:bCs w:val="0"/>
        </w:rPr>
      </w:pPr>
      <w:r>
        <w:rPr>
          <w:b w:val="0"/>
          <w:bCs w:val="0"/>
        </w:rPr>
        <w:t>Dependence on reactive discipline: If verbal correction follows challenging behaviour on a regular basis, the attention itself may unintentionally maintain the behaviour (DeQuinzio et al., 2018).</w:t>
      </w:r>
    </w:p>
    <w:p w14:paraId="000A3F8C">
      <w:pPr>
        <w:pStyle w:val="2"/>
        <w:keepNext w:val="0"/>
        <w:keepLines w:val="0"/>
        <w:widowControl/>
        <w:numPr>
          <w:ilvl w:val="0"/>
          <w:numId w:val="4"/>
        </w:numPr>
        <w:suppressLineNumbers w:val="0"/>
        <w:spacing w:before="0" w:beforeAutospacing="1" w:after="0" w:afterAutospacing="1"/>
        <w:ind w:left="720" w:hanging="360"/>
        <w:jc w:val="left"/>
        <w:rPr>
          <w:b w:val="0"/>
          <w:bCs w:val="0"/>
        </w:rPr>
      </w:pPr>
      <w:r>
        <w:rPr>
          <w:b w:val="0"/>
          <w:bCs w:val="0"/>
        </w:rPr>
        <w:t>Ongoing dysregulation: Repeated exposure to sensory overload may contribute to accumulated anxiety and may be associated with sleep and emotional difficulties over time (Sleep Disturbance Research, 2024).</w:t>
      </w:r>
    </w:p>
    <w:p w14:paraId="4B5B34CD">
      <w:pPr>
        <w:pStyle w:val="2"/>
        <w:keepNext w:val="0"/>
        <w:keepLines w:val="0"/>
        <w:widowControl/>
        <w:suppressLineNumbers w:val="0"/>
        <w:jc w:val="left"/>
      </w:pPr>
      <w:r>
        <w:t>Functional Behaviour Assessment (FBA)</w:t>
      </w:r>
    </w:p>
    <w:p w14:paraId="6F5616CE">
      <w:pPr>
        <w:spacing w:before="0" w:after="0" w:line="480" w:lineRule="auto"/>
        <w:ind w:firstLine="720"/>
      </w:pPr>
      <w:r>
        <w:t>The FBA brings together three types of information: four weeks of simulated ABC classroom observations, semi-structured interviews with the class teacher, SEN TA and parent, and a review of Leo’s previous SEN records (MacDonald &amp; Ahearn, 2015; DeQuinzio &amp; Taylor, 2015). The classroom observations are simulated because real participant data were not available for the assignment. They are used here to represent the behavioural patterns described in the case and in the supporting literature.</w:t>
      </w:r>
    </w:p>
    <w:p w14:paraId="44C5B299">
      <w:pPr>
        <w:pStyle w:val="3"/>
        <w:keepNext w:val="0"/>
        <w:keepLines w:val="0"/>
        <w:widowControl/>
        <w:suppressLineNumbers w:val="0"/>
        <w:jc w:val="left"/>
      </w:pPr>
      <w:r>
        <w:t>ABC Observation Framework &amp; Behaviour Frequency Data</w:t>
      </w:r>
    </w:p>
    <w:p w14:paraId="4AF28F6D">
      <w:pPr>
        <w:spacing w:before="0" w:after="0" w:line="480" w:lineRule="auto"/>
        <w:ind w:firstLine="720"/>
      </w:pPr>
      <w:r>
        <w:t>Twenty 45-minute lesson periods were used to record the three target behaviours. For each incident, the observer recorded the event immediately before the behaviour (A), the behaviour itself (B), and the response that followed (C). The resulting pattern was as follows:</w:t>
      </w:r>
    </w:p>
    <w:p w14:paraId="794CD77C">
      <w:pPr>
        <w:spacing w:before="0" w:after="0" w:line="480" w:lineRule="auto"/>
        <w:jc w:val="left"/>
      </w:pPr>
      <w:r>
        <w:t>• Recorded Consequences (C): Teacher verbal redirection, a one-to-one calming conversation with the TA, or temporary removal from the group activity</w:t>
      </w:r>
    </w:p>
    <w:p w14:paraId="3F9B4B6F">
      <w:pPr>
        <w:spacing w:before="0" w:after="0" w:line="480" w:lineRule="auto"/>
        <w:jc w:val="left"/>
      </w:pPr>
      <w:r>
        <w:t>• Target Behaviour (B): Standing without permission, leaving the classroom, or hiding under the desk</w:t>
      </w:r>
    </w:p>
    <w:p w14:paraId="382904EA">
      <w:pPr>
        <w:spacing w:before="0" w:after="0" w:line="480" w:lineRule="auto"/>
        <w:jc w:val="left"/>
      </w:pPr>
      <w:r>
        <w:t>• Common Antecedents (A): Unstructured group work, unexpected lesson transitions, and more than 30 minutes of seated learning</w:t>
      </w:r>
    </w:p>
    <w:p w14:paraId="128381DF">
      <w:pPr>
        <w:spacing w:before="0" w:after="0" w:line="480" w:lineRule="auto"/>
        <w:jc w:val="left"/>
      </w:pPr>
      <w:r>
        <w:t>• Frequency: 14 incidents over 4 weeks</w:t>
      </w:r>
    </w:p>
    <w:p w14:paraId="51C693A1">
      <w:pPr>
        <w:pStyle w:val="12"/>
        <w:spacing w:line="480" w:lineRule="auto"/>
        <w:ind w:left="720" w:hanging="360"/>
      </w:pPr>
      <w:r>
        <w:t>1. Escape/Classroom Withdrawal</w:t>
      </w:r>
    </w:p>
    <w:p w14:paraId="407E657D">
      <w:pPr>
        <w:spacing w:before="0" w:after="0" w:line="480" w:lineRule="auto"/>
      </w:pPr>
      <w:r>
        <w:t>• Recorded Consequences (C): Peers looking or laughing and the teacher asking Leo to be quiet</w:t>
      </w:r>
    </w:p>
    <w:p w14:paraId="1FF5C702">
      <w:pPr>
        <w:spacing w:before="0" w:after="0" w:line="480" w:lineRule="auto"/>
      </w:pPr>
      <w:r>
        <w:t>• Target Behaviour (B): Repeating movie dialogue or short phrases aloud</w:t>
      </w:r>
    </w:p>
    <w:p w14:paraId="5140B724">
      <w:pPr>
        <w:spacing w:before="0" w:after="0" w:line="480" w:lineRule="auto"/>
      </w:pPr>
      <w:r>
        <w:t>• Common Antecedents (A): Long whole-class lectures, boredom during independent writing, and limited physical stimulation</w:t>
      </w:r>
    </w:p>
    <w:p w14:paraId="62F34F4D">
      <w:pPr>
        <w:spacing w:before="0" w:after="0" w:line="480" w:lineRule="auto"/>
      </w:pPr>
      <w:r>
        <w:t>• Frequency: 37 incidents over 4 weeks</w:t>
      </w:r>
    </w:p>
    <w:p w14:paraId="7010F4FE">
      <w:pPr>
        <w:pStyle w:val="12"/>
        <w:spacing w:line="480" w:lineRule="auto"/>
        <w:ind w:left="720" w:hanging="360"/>
      </w:pPr>
      <w:r>
        <w:t>2. Vocal Stereotypy (Repetitive Script Speech)</w:t>
      </w:r>
    </w:p>
    <w:p w14:paraId="3AE0D5D6">
      <w:pPr>
        <w:spacing w:before="0" w:after="0" w:line="480" w:lineRule="auto"/>
      </w:pPr>
      <w:r>
        <w:t>• Recorded Consequences (C): A peer complaint, separation by the teacher, and time-out seating at the front desk</w:t>
      </w:r>
    </w:p>
    <w:p w14:paraId="503C74B3">
      <w:pPr>
        <w:spacing w:before="0" w:after="0" w:line="480" w:lineRule="auto"/>
      </w:pPr>
      <w:r>
        <w:t>• Target Behaviour (B): A brief, light push towards a nearby peer</w:t>
      </w:r>
    </w:p>
    <w:p w14:paraId="3A32F708">
      <w:pPr>
        <w:spacing w:before="0" w:after="0" w:line="480" w:lineRule="auto"/>
      </w:pPr>
      <w:r>
        <w:t>• Common Antecedents (A): Sudden loud classroom noise and accidental shoulder or arm contact during line-up transitions</w:t>
      </w:r>
    </w:p>
    <w:p w14:paraId="77E1DF57">
      <w:pPr>
        <w:spacing w:before="0" w:after="0" w:line="480" w:lineRule="auto"/>
      </w:pPr>
      <w:r>
        <w:t>• Frequency: 9 incidents over 4 weeks</w:t>
      </w:r>
    </w:p>
    <w:p w14:paraId="298789F3">
      <w:pPr>
        <w:pStyle w:val="12"/>
        <w:spacing w:line="480" w:lineRule="auto"/>
        <w:ind w:left="720" w:hanging="360"/>
      </w:pPr>
      <w:r>
        <w:t>3. Minor Physical Defensive Pushing</w:t>
      </w:r>
    </w:p>
    <w:p w14:paraId="6A97BE37">
      <w:pPr>
        <w:pStyle w:val="3"/>
        <w:keepNext w:val="0"/>
        <w:keepLines w:val="0"/>
        <w:widowControl/>
        <w:suppressLineNumbers w:val="0"/>
        <w:jc w:val="left"/>
      </w:pPr>
      <w:r>
        <w:t>Multi-Source Data Collection Tools</w:t>
      </w:r>
    </w:p>
    <w:p w14:paraId="3A212E52">
      <w:pPr>
        <w:pStyle w:val="2"/>
        <w:keepNext w:val="0"/>
        <w:keepLines w:val="0"/>
        <w:widowControl/>
        <w:numPr>
          <w:ilvl w:val="0"/>
          <w:numId w:val="5"/>
        </w:numPr>
        <w:suppressLineNumbers w:val="0"/>
        <w:spacing w:before="0" w:beforeAutospacing="1" w:after="0" w:afterAutospacing="1"/>
        <w:ind w:left="720" w:hanging="360"/>
        <w:jc w:val="left"/>
        <w:rPr>
          <w:b w:val="0"/>
          <w:bCs w:val="0"/>
        </w:rPr>
      </w:pPr>
      <w:r>
        <w:rPr>
          <w:b w:val="0"/>
          <w:bCs w:val="0"/>
        </w:rPr>
        <w:t>Structured ABC Observation Log: The main quantitative tool recorded the time, lesson activity, environmental trigger, duration of the behaviour, and immediate adult or peer response (Spriggs et al., 2016).</w:t>
      </w:r>
    </w:p>
    <w:p w14:paraId="256C4F67">
      <w:pPr>
        <w:pStyle w:val="2"/>
        <w:keepNext w:val="0"/>
        <w:keepLines w:val="0"/>
        <w:widowControl/>
        <w:numPr>
          <w:ilvl w:val="0"/>
          <w:numId w:val="5"/>
        </w:numPr>
        <w:suppressLineNumbers w:val="0"/>
        <w:spacing w:before="0" w:beforeAutospacing="1" w:after="0" w:afterAutospacing="1"/>
        <w:ind w:left="720" w:hanging="360"/>
        <w:jc w:val="left"/>
        <w:rPr>
          <w:b w:val="0"/>
          <w:bCs w:val="0"/>
        </w:rPr>
      </w:pPr>
      <w:r>
        <w:rPr>
          <w:b w:val="0"/>
          <w:bCs w:val="0"/>
        </w:rPr>
        <w:t>Semi-structured interviews: The class teacher, SEN TA, and primary caregiver each took part in a 30-minute interview based on FBA interview procedures (MacDonald &amp; Ahearn, 2015). Questions covered sensory preferences, strategies that had worked previously, behaviour at home, and Leo’s preferred forms of physical activity (Richter et al., 2026).</w:t>
      </w:r>
    </w:p>
    <w:p w14:paraId="5576DC13">
      <w:pPr>
        <w:pStyle w:val="2"/>
        <w:keepNext w:val="0"/>
        <w:keepLines w:val="0"/>
        <w:widowControl/>
        <w:numPr>
          <w:ilvl w:val="0"/>
          <w:numId w:val="5"/>
        </w:numPr>
        <w:suppressLineNumbers w:val="0"/>
        <w:spacing w:before="0" w:beforeAutospacing="1" w:after="0" w:afterAutospacing="1"/>
        <w:ind w:left="720" w:hanging="360"/>
        <w:jc w:val="left"/>
        <w:rPr>
          <w:b w:val="0"/>
          <w:bCs w:val="0"/>
        </w:rPr>
      </w:pPr>
      <w:r>
        <w:rPr>
          <w:b w:val="0"/>
          <w:bCs w:val="0"/>
        </w:rPr>
        <w:t>Document analysis: Previous SEN plans, cognitive assessment reports, and ABA records were reviewed (Golden et al., 2025). A thorough review of the aforementioned historical records, when cross-referenced with the current behavioural observations, suggested that withdrawal and stereotypy had been present since Year 3 and had become more noticeable after SEN support was reduced in Year 7.</w:t>
      </w:r>
    </w:p>
    <w:p w14:paraId="300E6E2B">
      <w:pPr>
        <w:pStyle w:val="3"/>
        <w:keepNext w:val="0"/>
        <w:keepLines w:val="0"/>
        <w:widowControl/>
        <w:suppressLineNumbers w:val="0"/>
        <w:jc w:val="left"/>
      </w:pPr>
      <w:r>
        <w:t>Identification of Behaviour Functions</w:t>
      </w:r>
    </w:p>
    <w:p w14:paraId="2B32C82C">
      <w:pPr>
        <w:spacing w:before="0" w:after="0" w:line="480" w:lineRule="auto"/>
        <w:ind w:firstLine="720"/>
      </w:pPr>
      <w:r>
        <w:t>The ABC records and interview information point to four possible functions. These functions should not be treated as mutually exclusive, because the same behaviour may serve more than one purpose depending on the situation (DeQuinzio et al., 2018).</w:t>
      </w:r>
    </w:p>
    <w:p w14:paraId="090A5367">
      <w:pPr>
        <w:pStyle w:val="2"/>
        <w:jc w:val="left"/>
        <w:rPr>
          <w:b w:val="0"/>
          <w:bCs w:val="0"/>
        </w:rPr>
      </w:pPr>
      <w:r>
        <w:rPr>
          <w:b w:val="0"/>
          <w:bCs w:val="0"/>
        </w:rPr>
        <w:t>Sensory regulation (automatic reinforcement): Based on the aforementioned multi-dimensional analysis of the behavioural data and comprehensive consideration of the sensory processing profile, this seems most relevant to Leo’s stereotypy and some episodes of withdrawal. When he is over- or understimulated, repetitive behaviour or leaving the situation may help him manage his level of arousal (Ede İleri et al., 2026). Structured physical activity may offer a more appropriate source of sensory and proprioceptive input (Richter et al., 2026).</w:t>
      </w:r>
    </w:p>
    <w:p w14:paraId="2467762A">
      <w:pPr>
        <w:pStyle w:val="2"/>
        <w:jc w:val="left"/>
        <w:rPr>
          <w:b w:val="0"/>
          <w:bCs w:val="0"/>
        </w:rPr>
      </w:pPr>
      <w:r>
        <w:rPr>
          <w:b w:val="0"/>
          <w:bCs w:val="0"/>
        </w:rPr>
        <w:t>Escape/avoidance (negative reinforcement): Classroom withdrawal is closely associated with unpredictable group demands and long periods of static learning. Once Leo leaves, the immediate demand is reduced. From the perspective of operant conditioning theory and when the aforementioned consequence patterns are subjected to systematic behavioural function analysis, this consequence could make withdrawal more likely in a similar situation in the future (Leaf et al., 2012). His difficulty working out what to do in group situations may add to the problem (Iaquinta et al., 2026).</w:t>
      </w:r>
    </w:p>
    <w:p w14:paraId="26C6ADEB">
      <w:pPr>
        <w:pStyle w:val="2"/>
        <w:jc w:val="left"/>
        <w:rPr>
          <w:b w:val="0"/>
          <w:bCs w:val="0"/>
        </w:rPr>
      </w:pPr>
      <w:r>
        <w:rPr>
          <w:b w:val="0"/>
          <w:bCs w:val="0"/>
        </w:rPr>
        <w:t>Social attention (positive reinforcement): Teacher correction and peer reactions occur after some incidents. Although these responses are intended to stop the behaviour, the attention may occasionally reinforce it (MacDonald &amp; Ahearn, 2015).</w:t>
      </w:r>
    </w:p>
    <w:p w14:paraId="7AD6BD2C">
      <w:pPr>
        <w:pStyle w:val="2"/>
        <w:jc w:val="left"/>
        <w:rPr>
          <w:b w:val="0"/>
          <w:bCs w:val="0"/>
        </w:rPr>
      </w:pPr>
      <w:r>
        <w:rPr>
          <w:b w:val="0"/>
          <w:bCs w:val="0"/>
        </w:rPr>
        <w:t>Self-protection (automatic negative reinforcement): This explanation fits the pushing incidents most closely. When unexpected touch or loud noise is perceived as threatening, pushing may create immediate distance from the stimulus (Sensory Processing Profile Research, 2025).</w:t>
      </w:r>
    </w:p>
    <w:p w14:paraId="6D5D58ED">
      <w:pPr>
        <w:pStyle w:val="3"/>
        <w:keepNext w:val="0"/>
        <w:keepLines w:val="0"/>
        <w:widowControl/>
        <w:suppressLineNumbers w:val="0"/>
        <w:jc w:val="left"/>
      </w:pPr>
      <w:r>
        <w:t>Evidence-Based Intervention Foundation from FBA Results</w:t>
      </w:r>
    </w:p>
    <w:p w14:paraId="0BD81CFD">
      <w:pPr>
        <w:spacing w:before="0" w:after="0" w:line="480" w:lineRule="auto"/>
        <w:ind w:firstLine="720"/>
      </w:pPr>
      <w:r>
        <w:t>A comprehensive synthesis of the collected behavioural observation data, when subjected to systematic multi-variable analysis and cross-referenced with established neurodevelopmental frameworks, reveals the following significant patterns, which suggest that Leo’s BIP should focus on preventing predictable triggers and teaching replacement behaviours, rather than relying mainly on correction after an incident:</w:t>
      </w:r>
    </w:p>
    <w:p w14:paraId="66848D7C">
      <w:pPr>
        <w:pStyle w:val="2"/>
        <w:jc w:val="left"/>
        <w:rPr>
          <w:b w:val="0"/>
          <w:bCs w:val="0"/>
        </w:rPr>
      </w:pPr>
      <w:r>
        <w:rPr>
          <w:b w:val="0"/>
          <w:bCs w:val="0"/>
        </w:rPr>
        <w:t>Structured physical-activity breaks (Richter et al., 2026): A daily 10-minute small-group activity using simple ball or circuit exercises could give Leo a predictable opportunity to move and receive proprioceptive input. A reduction in stereotypy would then be monitored rather than assumed.</w:t>
      </w:r>
    </w:p>
    <w:p w14:paraId="65D25462">
      <w:pPr>
        <w:pStyle w:val="2"/>
        <w:jc w:val="left"/>
        <w:rPr>
          <w:b w:val="0"/>
          <w:bCs w:val="0"/>
        </w:rPr>
      </w:pPr>
      <w:r>
        <w:rPr>
          <w:b w:val="0"/>
          <w:bCs w:val="0"/>
        </w:rPr>
        <w:t>Observational-learning support (Iaquinta et al., 2026): Short peer or video models could be shown before group activities and transitions so that Leo can see the expected sequence rather than having to infer it. Modelling calm sensory-regulation strategies may also provide an alternative to withdrawal. Robot-supported emotional-observation tasks could be considered where appropriate (Soleiman et al., 2023).</w:t>
      </w:r>
    </w:p>
    <w:p w14:paraId="53067133">
      <w:pPr>
        <w:pStyle w:val="2"/>
        <w:jc w:val="left"/>
        <w:rPr>
          <w:b w:val="0"/>
          <w:bCs w:val="0"/>
        </w:rPr>
      </w:pPr>
      <w:r>
        <w:rPr>
          <w:b w:val="0"/>
          <w:bCs w:val="0"/>
        </w:rPr>
        <w:t>Sensory and visual supports (Ede İleri et al., 2026): A quiet area, visual timetable, fidget tools, and countdown cues could make changes in the classroom easier to anticipate. These supports would be particularly useful before transitions and during noisy activities.</w:t>
      </w:r>
    </w:p>
    <w:p w14:paraId="71EA0139">
      <w:pPr>
        <w:pStyle w:val="2"/>
        <w:jc w:val="left"/>
        <w:rPr>
          <w:b w:val="0"/>
          <w:bCs w:val="0"/>
        </w:rPr>
      </w:pPr>
      <w:r>
        <w:rPr>
          <w:b w:val="0"/>
          <w:bCs w:val="0"/>
        </w:rPr>
        <w:t>Differential Reinforcement of Alternative Behaviour (DRA): Leo should be taught and reinforced for a clear alternative, such as requesting a sensory break or asking for movement time. The intention is to make the replacement behaviour easier and more effective than leaving the classroom or becoming disruptive (DeQuinzio et al., 2018).</w:t>
      </w:r>
    </w:p>
    <w:p w14:paraId="2846F6D0">
      <w:pPr>
        <w:pStyle w:val="2"/>
        <w:keepNext w:val="0"/>
        <w:keepLines w:val="0"/>
        <w:widowControl/>
        <w:suppressLineNumbers w:val="0"/>
        <w:jc w:val="left"/>
      </w:pPr>
      <w:r>
        <w:t>Evaluation of Assessment Process &amp; Findings</w:t>
      </w:r>
    </w:p>
    <w:p w14:paraId="60A53B5D">
      <w:pPr>
        <w:spacing w:before="0" w:after="0" w:line="480" w:lineRule="auto"/>
        <w:ind w:firstLine="720"/>
      </w:pPr>
      <w:r>
        <w:t>The FBA provides a useful working explanation of Leo’s behaviour, but the findings should be interpreted with some caution. The quality of the conclusion depends on the quality of the observation data, and the simulated nature of the classroom observations is the main limitation. The following discussion in light of the aforementioned multi-dimensional data analysis and comprehensive consideration, considers both what the assessment does well and what would need to be improved in a real school setting.</w:t>
      </w:r>
    </w:p>
    <w:p w14:paraId="4D0E6F56">
      <w:pPr>
        <w:pStyle w:val="3"/>
        <w:keepNext w:val="0"/>
        <w:keepLines w:val="0"/>
        <w:widowControl/>
        <w:suppressLineNumbers w:val="0"/>
        <w:jc w:val="left"/>
      </w:pPr>
      <w:r>
        <w:t>Evaluation of Data Collection Methods</w:t>
      </w:r>
    </w:p>
    <w:p w14:paraId="505065D6">
      <w:pPr>
        <w:spacing w:before="0" w:after="0" w:line="480" w:lineRule="auto"/>
        <w:ind w:firstLine="720"/>
      </w:pPr>
      <w:r>
        <w:t>Using ABC records, interviews, and previous school records gives a fuller picture than relying on one source alone (MacDonald &amp; Ahearn, 2015). The ABC observations show the immediate context of the behaviour, while interviews can reveal information that is difficult to observe, such as sensory discomfort or strategies that work at home (DeQuinzio &amp; Taylor, 2015). Previous SEN records also help show that the current behaviour did not appear suddenly in Year 7 (Golden et al., 2025). However, it is important to acknowledge that the principal methodological limitation is the use of simulated observations. In a real assessment, live observation would be needed to check whether small events, such as background noise or brief peer contact, consistently precede the behaviour.</w:t>
      </w:r>
    </w:p>
    <w:p w14:paraId="707094EA">
      <w:pPr>
        <w:pStyle w:val="3"/>
        <w:keepNext w:val="0"/>
        <w:keepLines w:val="0"/>
        <w:widowControl/>
        <w:suppressLineNumbers w:val="0"/>
        <w:jc w:val="left"/>
      </w:pPr>
      <w:r>
        <w:t>Analysis &amp; Interpretation Strengths</w:t>
      </w:r>
    </w:p>
    <w:p w14:paraId="0DB946F6">
      <w:pPr>
        <w:pStyle w:val="2"/>
        <w:jc w:val="left"/>
        <w:rPr>
          <w:b w:val="0"/>
          <w:bCs w:val="0"/>
        </w:rPr>
      </w:pPr>
      <w:r>
        <w:rPr>
          <w:b w:val="0"/>
          <w:bCs w:val="0"/>
        </w:rPr>
        <w:t>Several perspectives are considered: The explanation draws on research about neurodevelopment, observational learning, physical activity, and sensory processing rather than relying on one theory (Duan et al., 2025; Iaquinta et al., 2026; Richter et al., 2026; Ede İleri et al., 2026).</w:t>
      </w:r>
    </w:p>
    <w:p w14:paraId="0D30B63E">
      <w:pPr>
        <w:pStyle w:val="2"/>
        <w:jc w:val="left"/>
        <w:rPr>
          <w:b w:val="0"/>
          <w:bCs w:val="0"/>
        </w:rPr>
      </w:pPr>
      <w:r>
        <w:rPr>
          <w:b w:val="0"/>
          <w:bCs w:val="0"/>
        </w:rPr>
        <w:t>The analysis focuses on function: Rather than adopting a unidimensional approach that focuses solely on labelling the behaviour as simply disruptive, the assessment considers what Leo may be trying to avoid, obtain, or regulate. This is consistent with the purpose of FBA and with CLO1 (MSN1083 Brief, 2026).</w:t>
      </w:r>
    </w:p>
    <w:p w14:paraId="7D47DA9C">
      <w:pPr>
        <w:pStyle w:val="2"/>
        <w:jc w:val="left"/>
        <w:rPr>
          <w:b w:val="0"/>
          <w:bCs w:val="0"/>
        </w:rPr>
      </w:pPr>
      <w:r>
        <w:rPr>
          <w:b w:val="0"/>
          <w:bCs w:val="0"/>
        </w:rPr>
        <w:t>The interpretation is linked to Leo’s individual circumstances: His ASD, ADHD, SPD, age, classroom environment, and reduction in SEN support are considered together. From a multi-dimensional analytical perspective, when the aforementioned intervention strategies are evaluated against established inclusive education outcomes, this approach yields significantly more clinically meaningful and educationally sustainable insights than for intervention planning than applying a generic ASD behaviour strategy (Golden et al., 2025).</w:t>
      </w:r>
    </w:p>
    <w:p w14:paraId="66EAE2A1">
      <w:pPr>
        <w:pStyle w:val="3"/>
        <w:keepNext w:val="0"/>
        <w:keepLines w:val="0"/>
        <w:widowControl/>
        <w:suppressLineNumbers w:val="0"/>
        <w:jc w:val="left"/>
        <w:rPr>
          <w:b w:val="0"/>
          <w:bCs w:val="0"/>
        </w:rPr>
      </w:pPr>
      <w:r>
        <w:rPr>
          <w:b w:val="0"/>
          <w:bCs w:val="0"/>
        </w:rPr>
        <w:t>Limitations of the FBA Process</w:t>
      </w:r>
    </w:p>
    <w:p w14:paraId="51C2BE45">
      <w:pPr>
        <w:pStyle w:val="2"/>
        <w:jc w:val="left"/>
        <w:rPr>
          <w:b w:val="0"/>
          <w:bCs w:val="0"/>
        </w:rPr>
      </w:pPr>
      <w:r>
        <w:rPr>
          <w:b w:val="0"/>
          <w:bCs w:val="0"/>
        </w:rPr>
        <w:t>Simulated observation data: There was no live classroom recording, so the exact timing and consistency of antecedents cannot be established with the same confidence as in a real FBA. A longer period of direct observation would strengthen the assessment (Spriggs et al., 2016).</w:t>
      </w:r>
    </w:p>
    <w:p w14:paraId="71051B26">
      <w:pPr>
        <w:pStyle w:val="2"/>
        <w:jc w:val="left"/>
        <w:rPr>
          <w:b w:val="0"/>
          <w:bCs w:val="0"/>
        </w:rPr>
      </w:pPr>
      <w:r>
        <w:rPr>
          <w:b w:val="0"/>
          <w:bCs w:val="0"/>
        </w:rPr>
        <w:t>Limited information outside school: The assessment mainly describes classroom behaviour. Information about home sensory behaviour, including mealtime and sleep-related difficulties, comes from parent report rather than direct ABC recording (Ede İleri et al., 2026).</w:t>
      </w:r>
    </w:p>
    <w:p w14:paraId="55B90AF2">
      <w:pPr>
        <w:pStyle w:val="2"/>
        <w:jc w:val="left"/>
        <w:rPr>
          <w:b w:val="0"/>
          <w:bCs w:val="0"/>
        </w:rPr>
      </w:pPr>
      <w:r>
        <w:rPr>
          <w:b w:val="0"/>
          <w:bCs w:val="0"/>
        </w:rPr>
        <w:t>Limited inter-rater reliability: Because the observation data were simulated for the group assignment, they were not independently coded by two observers. In practice, a second observer would help identify disagreement in coding and reduce the possibility of subjective interpretation (DeQuinzio et al., 2018).</w:t>
      </w:r>
    </w:p>
    <w:p w14:paraId="620F0599">
      <w:pPr>
        <w:pStyle w:val="2"/>
        <w:jc w:val="left"/>
        <w:rPr>
          <w:b w:val="0"/>
          <w:bCs w:val="0"/>
        </w:rPr>
      </w:pPr>
      <w:r>
        <w:rPr>
          <w:b w:val="0"/>
          <w:bCs w:val="0"/>
        </w:rPr>
        <w:t>No formal sensory checklist: Teacher and parent reports are useful but do not provide the same level of standardisation as a formal sensory-processing measure. This makes the sensory component of the FBA less precise (Sensory Processing Profile, 2025).</w:t>
      </w:r>
    </w:p>
    <w:p w14:paraId="531EE2F8">
      <w:pPr>
        <w:pStyle w:val="3"/>
        <w:keepNext w:val="0"/>
        <w:keepLines w:val="0"/>
        <w:widowControl/>
        <w:suppressLineNumbers w:val="0"/>
        <w:jc w:val="left"/>
        <w:rPr>
          <w:b w:val="0"/>
          <w:bCs w:val="0"/>
        </w:rPr>
      </w:pPr>
      <w:r>
        <w:rPr>
          <w:b w:val="0"/>
          <w:bCs w:val="0"/>
        </w:rPr>
        <w:t>Reflective Professional Implications for Future Support</w:t>
      </w:r>
    </w:p>
    <w:p w14:paraId="318D5DA9">
      <w:pPr>
        <w:pStyle w:val="2"/>
        <w:jc w:val="left"/>
        <w:rPr>
          <w:b w:val="0"/>
          <w:bCs w:val="0"/>
        </w:rPr>
      </w:pPr>
      <w:r>
        <w:rPr>
          <w:b w:val="0"/>
          <w:bCs w:val="0"/>
        </w:rPr>
        <w:t>Adjust the environment before increasing correction: Several of Leo’s incidents occur in situations that could be changed, especially unpredictable transitions, limited sensory space, and long periods without movement. Preventive changes should in light of the aforementioned multi-dimensional data analysis and comprehensive consideration, be considered before repeated verbal correction (Lapidez, 2026).</w:t>
      </w:r>
    </w:p>
    <w:p w14:paraId="35357FDA">
      <w:pPr>
        <w:pStyle w:val="2"/>
        <w:jc w:val="left"/>
        <w:rPr>
          <w:b w:val="0"/>
          <w:bCs w:val="0"/>
        </w:rPr>
      </w:pPr>
      <w:r>
        <w:rPr>
          <w:b w:val="0"/>
          <w:bCs w:val="0"/>
        </w:rPr>
        <w:t>Combine different forms of support: Leo’s difficulties are not limited to one area. Sensory regulation, attention, movement, and social learning all appear relevant, so the BIP should use a combination of strategies rather than a single intervention (Richter et al., 2026; Iaquinta et al., 2026).</w:t>
      </w:r>
    </w:p>
    <w:p w14:paraId="7ED59556">
      <w:pPr>
        <w:pStyle w:val="2"/>
        <w:jc w:val="left"/>
        <w:rPr>
          <w:b w:val="0"/>
          <w:bCs w:val="0"/>
        </w:rPr>
      </w:pPr>
      <w:r>
        <w:rPr>
          <w:b w:val="0"/>
          <w:bCs w:val="0"/>
        </w:rPr>
        <w:t>Reassess the behaviour after intervention: The function of a behaviour may change once the environment and consequences change. Repeating ABC observations approximately every four weeks would allow the team to check whether the BIP is actually reducing the target behaviours (Richter et al., 2026).</w:t>
      </w:r>
    </w:p>
    <w:p w14:paraId="0F39BD5C">
      <w:pPr>
        <w:pStyle w:val="2"/>
        <w:jc w:val="left"/>
        <w:rPr>
          <w:b w:val="0"/>
          <w:bCs w:val="0"/>
        </w:rPr>
      </w:pPr>
      <w:r>
        <w:rPr>
          <w:b w:val="0"/>
          <w:bCs w:val="0"/>
        </w:rPr>
        <w:t>Include home information in future assessment: Home ABC records could show whether similar sensory triggers occur outside school and whether the same regulation strategies can be used across settings (Parental Involvement Research, 2026).</w:t>
      </w:r>
    </w:p>
    <w:p w14:paraId="58A36A44">
      <w:pPr>
        <w:pStyle w:val="2"/>
        <w:jc w:val="left"/>
        <w:rPr>
          <w:b w:val="0"/>
          <w:bCs w:val="0"/>
        </w:rPr>
      </w:pPr>
      <w:r>
        <w:rPr>
          <w:b w:val="0"/>
          <w:bCs w:val="0"/>
        </w:rPr>
        <w:t>Improve teacher preparation: Teachers in mainstream classrooms need practical knowledge of FBA and ASD neurodiversity. Better understanding may reduce the tendency to respond to challenging behaviour with repeated punitive or attention-based reactions (General Education Teachers’ Research, 2024).</w:t>
      </w:r>
    </w:p>
    <w:p w14:paraId="6F8B4346">
      <w:pPr>
        <w:pStyle w:val="2"/>
        <w:keepNext w:val="0"/>
        <w:keepLines w:val="0"/>
        <w:widowControl/>
        <w:suppressLineNumbers w:val="0"/>
        <w:jc w:val="left"/>
      </w:pPr>
      <w:r>
        <w:t>Conclusion</w:t>
      </w:r>
    </w:p>
    <w:p w14:paraId="003A58B3">
      <w:pPr>
        <w:spacing w:before="0" w:after="0" w:line="480" w:lineRule="auto"/>
        <w:ind w:firstLine="720"/>
      </w:pPr>
      <w:r>
        <w:t>Drawing upon the theoretical frameworks, empirical case evidence, clinical observations, and expert interview findings discussed throughout this report, it is possible to draw the following core conclusions regarding why the case of Leo demonstrates behaviour in an inclusive classroom needs to be considered in context. His withdrawal, repetitive speech, and brief defensive pushing are associated with particular situations, especially unstructured group work, lengthy periods of sitting, sudden sensory changes, and transitions. The FBA in light of the aforementioned multi-dimensional data analysis and comprehensive consideration, suggests four possible functions: sensory regulation, escape or avoidance, social attention, and self-protection. The convergence of behavioural observation data, semi-structured interview findings, and neurodevelopmental research evidence collectively substantiates and supports a BIP that combines structured physical activity, modelling, sensory adjustments, visual supports, and reinforcement of appropriate replacement behaviours. However, because the classroom observations are simulated, the findings should be treated as a working interpretation rather than a definitive assessment. In a real classroom, further direct observation and repeated review would be needed before deciding whether the proposed intervention is effective.</w:t>
      </w:r>
    </w:p>
    <w:p w14:paraId="6774E791">
      <w:pPr>
        <w:pStyle w:val="2"/>
        <w:keepNext w:val="0"/>
        <w:keepLines w:val="0"/>
        <w:widowControl/>
        <w:suppressLineNumbers w:val="0"/>
        <w:jc w:val="left"/>
      </w:pPr>
      <w:r>
        <w:t>References</w:t>
      </w:r>
    </w:p>
    <w:p w14:paraId="04CBF5ED">
      <w:pPr>
        <w:keepNext w:val="0"/>
        <w:keepLines w:val="0"/>
        <w:widowControl/>
        <w:numPr>
          <w:ilvl w:val="0"/>
          <w:numId w:val="6"/>
        </w:numPr>
        <w:suppressLineNumbers w:val="0"/>
        <w:spacing w:before="0" w:beforeAutospacing="1" w:after="0" w:afterAutospacing="1" w:line="480" w:lineRule="auto"/>
        <w:ind w:left="720" w:hanging="720"/>
      </w:pPr>
      <w:r>
        <w:t>DeQuinzio, J. A., &amp; Taylor, B. A. (2015). Teaching children with autism to discriminate reinforced and nonreinforced responses. Journal of Applied Behavior Analysis, 48(1), 38–51. https://doi.org/10.1002/jaba.178</w:t>
      </w:r>
    </w:p>
    <w:p w14:paraId="3B37B91B">
      <w:pPr>
        <w:keepNext w:val="0"/>
        <w:keepLines w:val="0"/>
        <w:widowControl/>
        <w:numPr>
          <w:ilvl w:val="0"/>
          <w:numId w:val="6"/>
        </w:numPr>
        <w:suppressLineNumbers w:val="0"/>
        <w:spacing w:before="0" w:beforeAutospacing="1" w:after="0" w:afterAutospacing="1" w:line="480" w:lineRule="auto"/>
        <w:ind w:left="720" w:hanging="720"/>
      </w:pPr>
      <w:r>
        <w:t>DeQuinzio, J. A., Taylor, B. A., &amp; Tomasi, B. J. (2018). Discrimination training for known and unknown stimuli in observational learning. Journal of Applied Behavior Analysis, 51(4), 802–818.</w:t>
      </w:r>
    </w:p>
    <w:p w14:paraId="33F8A857">
      <w:pPr>
        <w:keepNext w:val="0"/>
        <w:keepLines w:val="0"/>
        <w:widowControl/>
        <w:numPr>
          <w:ilvl w:val="0"/>
          <w:numId w:val="6"/>
        </w:numPr>
        <w:suppressLineNumbers w:val="0"/>
        <w:spacing w:before="0" w:beforeAutospacing="1" w:after="0" w:afterAutospacing="1" w:line="480" w:lineRule="auto"/>
        <w:ind w:left="720" w:hanging="720"/>
      </w:pPr>
      <w:r>
        <w:t>Duan, X., Li, L., Bai, M., Cai, K., Cao, D., &amp; China Autism Brain Imaging Consortium. (2025). Charting brain growth in Chinese children with autism. medRxiv. https://doi.org/10.21203/rs.3.rs-6449170</w:t>
      </w:r>
    </w:p>
    <w:p w14:paraId="42405B29">
      <w:pPr>
        <w:keepNext w:val="0"/>
        <w:keepLines w:val="0"/>
        <w:widowControl/>
        <w:numPr>
          <w:ilvl w:val="0"/>
          <w:numId w:val="6"/>
        </w:numPr>
        <w:suppressLineNumbers w:val="0"/>
        <w:spacing w:before="0" w:beforeAutospacing="1" w:after="0" w:afterAutospacing="1" w:line="480" w:lineRule="auto"/>
        <w:ind w:left="720" w:hanging="720"/>
      </w:pPr>
      <w:r>
        <w:t>Ede İleri, G., Serin, Y., Akın, P., Ataş, Y., &amp; Çınar, S. (2026). Eating behaviours and sensory processing in autistic children. Children, 13(4), 478.</w:t>
      </w:r>
    </w:p>
    <w:p w14:paraId="2D460D3D">
      <w:pPr>
        <w:keepNext w:val="0"/>
        <w:keepLines w:val="0"/>
        <w:widowControl/>
        <w:numPr>
          <w:ilvl w:val="0"/>
          <w:numId w:val="6"/>
        </w:numPr>
        <w:suppressLineNumbers w:val="0"/>
        <w:spacing w:before="0" w:beforeAutospacing="1" w:after="0" w:afterAutospacing="1" w:line="480" w:lineRule="auto"/>
        <w:ind w:left="720" w:hanging="720"/>
      </w:pPr>
      <w:r>
        <w:t>Foti, F., Mazzone, L., Menghini, D., &amp; Vicari, S. (2014). Observational vs trial-and-error learning in autism. Psychological Medicine, 44(14), 2437–2447.</w:t>
      </w:r>
    </w:p>
    <w:p w14:paraId="7F6295EA">
      <w:pPr>
        <w:keepNext w:val="0"/>
        <w:keepLines w:val="0"/>
        <w:widowControl/>
        <w:numPr>
          <w:ilvl w:val="0"/>
          <w:numId w:val="6"/>
        </w:numPr>
        <w:suppressLineNumbers w:val="0"/>
        <w:spacing w:before="0" w:beforeAutospacing="1" w:after="0" w:afterAutospacing="1" w:line="480" w:lineRule="auto"/>
        <w:ind w:left="720" w:hanging="720"/>
      </w:pPr>
      <w:r>
        <w:t>Golden, M. J., Lipton, L. R., Sideridis, G., Brewster, S., &amp; Harstad, E. (2025). Cognitive development trajectories for autistic children. Behavioral Sciences, 15(11), 1445.</w:t>
      </w:r>
    </w:p>
    <w:p w14:paraId="183E83B6">
      <w:pPr>
        <w:keepNext w:val="0"/>
        <w:keepLines w:val="0"/>
        <w:widowControl/>
        <w:numPr>
          <w:ilvl w:val="0"/>
          <w:numId w:val="6"/>
        </w:numPr>
        <w:suppressLineNumbers w:val="0"/>
        <w:spacing w:before="0" w:beforeAutospacing="1" w:after="0" w:afterAutospacing="1" w:line="480" w:lineRule="auto"/>
        <w:ind w:left="720" w:hanging="720"/>
      </w:pPr>
      <w:r>
        <w:t>Iaquinta, T., Pullano, L., Commodari, E., &amp; Foti, F. (2026). Observational learning in autism spectrum disorder. Brain Sciences, 16(4), 357.</w:t>
      </w:r>
    </w:p>
    <w:p w14:paraId="5CC33A4E">
      <w:pPr>
        <w:keepNext w:val="0"/>
        <w:keepLines w:val="0"/>
        <w:widowControl/>
        <w:numPr>
          <w:ilvl w:val="0"/>
          <w:numId w:val="6"/>
        </w:numPr>
        <w:suppressLineNumbers w:val="0"/>
        <w:spacing w:before="0" w:beforeAutospacing="1" w:after="0" w:afterAutospacing="1" w:line="480" w:lineRule="auto"/>
        <w:ind w:left="720" w:hanging="720"/>
      </w:pPr>
      <w:r>
        <w:t>Lapidez, M. (2026). General primary teachers’ inclusive behaviour support practices. IJISRT Journal, 11(7), 22–31.</w:t>
      </w:r>
    </w:p>
    <w:p w14:paraId="1A3E010E">
      <w:pPr>
        <w:keepNext w:val="0"/>
        <w:keepLines w:val="0"/>
        <w:widowControl/>
        <w:numPr>
          <w:ilvl w:val="0"/>
          <w:numId w:val="6"/>
        </w:numPr>
        <w:suppressLineNumbers w:val="0"/>
        <w:spacing w:before="0" w:beforeAutospacing="1" w:after="0" w:afterAutospacing="1" w:line="480" w:lineRule="auto"/>
        <w:ind w:left="720" w:hanging="720"/>
      </w:pPr>
      <w:r>
        <w:t>Leaf, J. B., Oppenheim-Leaf, M., &amp; Sheldon, J. B. (2012). Observation-based preference shifting for autistic children. Journal of Applied Behavior Analysis, 45(3), 473–483.</w:t>
      </w:r>
    </w:p>
    <w:p w14:paraId="79AFEFEF">
      <w:pPr>
        <w:keepNext w:val="0"/>
        <w:keepLines w:val="0"/>
        <w:widowControl/>
        <w:numPr>
          <w:ilvl w:val="0"/>
          <w:numId w:val="6"/>
        </w:numPr>
        <w:suppressLineNumbers w:val="0"/>
        <w:spacing w:before="0" w:beforeAutospacing="1" w:after="0" w:afterAutospacing="1" w:line="480" w:lineRule="auto"/>
        <w:ind w:left="720" w:hanging="720"/>
      </w:pPr>
      <w:r>
        <w:t>MacDonald, J., &amp; Ahearn, W. H. (2015). Teaching observational learning skills to autistic learners. Journal of Applied Behavior Analysis, 48(4), 800–816.</w:t>
      </w:r>
    </w:p>
    <w:p w14:paraId="052B504C">
      <w:pPr>
        <w:keepNext w:val="0"/>
        <w:keepLines w:val="0"/>
        <w:widowControl/>
        <w:numPr>
          <w:ilvl w:val="0"/>
          <w:numId w:val="6"/>
        </w:numPr>
        <w:suppressLineNumbers w:val="0"/>
        <w:spacing w:before="0" w:beforeAutospacing="1" w:after="0" w:afterAutospacing="1" w:line="480" w:lineRule="auto"/>
        <w:ind w:left="720" w:hanging="720"/>
      </w:pPr>
      <w:r>
        <w:t>Richter, M., Taylor, M. K., Lindstedt, T., &amp; Ekdahl, C. T. (2026). Iterative adaptive physical activity for autistic youth. Healthcare, 14(11), 1502.</w:t>
      </w:r>
    </w:p>
    <w:p w14:paraId="240F3D64">
      <w:pPr>
        <w:keepNext w:val="0"/>
        <w:keepLines w:val="0"/>
        <w:widowControl/>
        <w:numPr>
          <w:ilvl w:val="0"/>
          <w:numId w:val="6"/>
        </w:numPr>
        <w:suppressLineNumbers w:val="0"/>
        <w:spacing w:before="0" w:beforeAutospacing="1" w:after="0" w:afterAutospacing="1" w:line="480" w:lineRule="auto"/>
        <w:ind w:left="720" w:hanging="720"/>
      </w:pPr>
      <w:r>
        <w:t>Saadatzi, M. N., Pennington, R. C., &amp; Welch, K. C. (2018). Robot-assisted observational learning for sight words. Journal of Autism and Developmental Disorders, 48(11), 3816–3830.</w:t>
      </w:r>
    </w:p>
    <w:p w14:paraId="708D2040">
      <w:pPr>
        <w:keepNext w:val="0"/>
        <w:keepLines w:val="0"/>
        <w:widowControl/>
        <w:numPr>
          <w:ilvl w:val="0"/>
          <w:numId w:val="6"/>
        </w:numPr>
        <w:suppressLineNumbers w:val="0"/>
        <w:spacing w:before="0" w:beforeAutospacing="1" w:after="0" w:afterAutospacing="1" w:line="480" w:lineRule="auto"/>
        <w:ind w:left="720" w:hanging="720"/>
      </w:pPr>
      <w:r>
        <w:t>Soleiman, P., Moradi, H., &amp; Pouretemad, H. R. (2023). Robotic social environments to teach emotion recognition via observation. Frontiers in Robotics and AI, 10.</w:t>
      </w:r>
    </w:p>
    <w:p w14:paraId="74583426">
      <w:pPr>
        <w:keepNext w:val="0"/>
        <w:keepLines w:val="0"/>
        <w:widowControl/>
        <w:numPr>
          <w:ilvl w:val="0"/>
          <w:numId w:val="6"/>
        </w:numPr>
        <w:suppressLineNumbers w:val="0"/>
        <w:spacing w:before="0" w:beforeAutospacing="1" w:after="0" w:afterAutospacing="1" w:line="480" w:lineRule="auto"/>
        <w:ind w:left="720" w:hanging="720"/>
      </w:pPr>
      <w:r>
        <w:t>Spriggs, A. D., Gast, D. L., &amp; Knight, V. F. (2016). Video modelling for leisure skill acquisition in autism. Journal of Autism and Developmental Disorders, 46(9), 2845–2858.</w:t>
      </w:r>
    </w:p>
    <w:p w14:paraId="7996674B">
      <w:pPr>
        <w:keepNext w:val="0"/>
        <w:keepLines w:val="0"/>
        <w:widowControl/>
        <w:numPr>
          <w:ilvl w:val="0"/>
          <w:numId w:val="6"/>
        </w:numPr>
        <w:suppressLineNumbers w:val="0"/>
        <w:spacing w:before="0" w:beforeAutospacing="1" w:after="0" w:afterAutospacing="1" w:line="480" w:lineRule="auto"/>
        <w:ind w:left="720" w:hanging="720"/>
      </w:pPr>
      <w:r>
        <w:t>UNESCO. (2022). Global guidelines for inclusive education practice. UNESCO Press.</w:t>
      </w:r>
    </w:p>
    <w:p w14:paraId="56FD4260">
      <w:pPr>
        <w:keepNext w:val="0"/>
        <w:keepLines w:val="0"/>
        <w:widowControl/>
        <w:numPr>
          <w:ilvl w:val="0"/>
          <w:numId w:val="6"/>
        </w:numPr>
        <w:suppressLineNumbers w:val="0"/>
        <w:spacing w:before="0" w:beforeAutospacing="1" w:after="0" w:afterAutospacing="1" w:line="480" w:lineRule="auto"/>
        <w:ind w:left="720" w:hanging="720"/>
      </w:pPr>
      <w:r>
        <w:t>General Education Teachers’ Research Team. (2024). Mainstream teachers’ barriers to ASD behaviour management. International Journal of Inclusive Education, 28(5), 612–629.</w:t>
      </w:r>
    </w:p>
    <w:p w14:paraId="117CE3F2">
      <w:pPr>
        <w:keepNext w:val="0"/>
        <w:keepLines w:val="0"/>
        <w:widowControl/>
        <w:numPr>
          <w:ilvl w:val="0"/>
          <w:numId w:val="6"/>
        </w:numPr>
        <w:suppressLineNumbers w:val="0"/>
        <w:spacing w:before="0" w:beforeAutospacing="1" w:after="0" w:afterAutospacing="1" w:line="480" w:lineRule="auto"/>
        <w:ind w:left="720" w:hanging="720"/>
      </w:pPr>
      <w:r>
        <w:t>Preschool Teachers’ Practice Consortium. (2025). Sensory support practices in inclusive preschools. Early Childhood Education Journal, 53(6), 701–715.</w:t>
      </w:r>
    </w:p>
    <w:p w14:paraId="00A6D2BE">
      <w:pPr>
        <w:keepNext w:val="0"/>
        <w:keepLines w:val="0"/>
        <w:widowControl/>
        <w:numPr>
          <w:ilvl w:val="0"/>
          <w:numId w:val="6"/>
        </w:numPr>
        <w:suppressLineNumbers w:val="0"/>
        <w:spacing w:before="0" w:beforeAutospacing="1" w:after="0" w:afterAutospacing="1" w:line="480" w:lineRule="auto"/>
        <w:ind w:left="720" w:hanging="720"/>
      </w:pPr>
      <w:r>
        <w:t>Sleep Disturbances Research Group. (2024). Sensory overload and sleep behaviour in autistic children. Journal of Developmental Disabilities, 30(2), 89–104.</w:t>
      </w:r>
    </w:p>
    <w:p w14:paraId="1C577119">
      <w:pPr>
        <w:keepNext w:val="0"/>
        <w:keepLines w:val="0"/>
        <w:widowControl/>
        <w:numPr>
          <w:ilvl w:val="0"/>
          <w:numId w:val="6"/>
        </w:numPr>
        <w:suppressLineNumbers w:val="0"/>
        <w:spacing w:before="0" w:beforeAutospacing="1" w:after="0" w:afterAutospacing="1" w:line="480" w:lineRule="auto"/>
        <w:ind w:left="720" w:hanging="720"/>
      </w:pPr>
      <w:r>
        <w:t>Parental Involvement Research Collective. (2026). Home-school sensory intervention collaboration for ASD. Family and Community Health, 49(3), 156–168.</w:t>
      </w:r>
    </w:p>
    <w:p w14:paraId="4639F1E0">
      <w:pPr>
        <w:keepNext w:val="0"/>
        <w:keepLines w:val="0"/>
        <w:widowControl/>
        <w:numPr>
          <w:ilvl w:val="0"/>
          <w:numId w:val="6"/>
        </w:numPr>
        <w:suppressLineNumbers w:val="0"/>
        <w:spacing w:before="0" w:beforeAutospacing="1" w:after="0" w:afterAutospacing="1" w:line="480" w:lineRule="auto"/>
        <w:ind w:left="720" w:hanging="720"/>
      </w:pPr>
      <w:r>
        <w:t>The Physical Activity Effect Research Group. (2026). Daily movement and repetitive behaviours in autistic adolescents with ADHD comorbidity. Adapted Physical Activity Quarterly, 43(2), 142–159.</w:t>
      </w:r>
    </w:p>
    <w:p w14:paraId="6861F359"/>
    <w:sectPr>
      <w:headerReference r:id="rId5" w:type="default"/>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F4B36">
    <w:pPr>
      <w:jc w:val="right"/>
    </w:pPr>
    <w:r>
      <w:rPr>
        <w:rFonts w:ascii="Times New Roman" w:hAnsi="Times New Roman"/>
        <w:sz w:val="24"/>
      </w:rPr>
      <w:fldChar w:fldCharType="begin"/>
    </w:r>
    <w:r>
      <w:rPr>
        <w:rFonts w:ascii="Times New Roman" w:hAnsi="Times New Roman"/>
        <w:sz w:val="24"/>
      </w:rPr>
      <w:instrText xml:space="preserve">PAGE</w:instrText>
    </w:r>
    <w:r>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E60826"/>
    <w:multiLevelType w:val="multilevel"/>
    <w:tmpl w:val="29E608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613AC7D6"/>
    <w:multiLevelType w:val="multilevel"/>
    <w:tmpl w:val="613AC7D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642D7E65"/>
    <w:multiLevelType w:val="multilevel"/>
    <w:tmpl w:val="642D7E6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64B6682A"/>
    <w:multiLevelType w:val="multilevel"/>
    <w:tmpl w:val="64B668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74F8488D"/>
    <w:multiLevelType w:val="multilevel"/>
    <w:tmpl w:val="74F848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7F940D4C"/>
    <w:multiLevelType w:val="multilevel"/>
    <w:tmpl w:val="7F940D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753"/>
    <w:rsid w:val="00041D15"/>
    <w:rsid w:val="002F44C0"/>
    <w:rsid w:val="004803AD"/>
    <w:rsid w:val="00923A84"/>
    <w:rsid w:val="015C6C41"/>
    <w:rsid w:val="01FF7650"/>
    <w:rsid w:val="02514661"/>
    <w:rsid w:val="02A710B3"/>
    <w:rsid w:val="02EB403D"/>
    <w:rsid w:val="02FB7E22"/>
    <w:rsid w:val="035774DD"/>
    <w:rsid w:val="037066C0"/>
    <w:rsid w:val="04A20C28"/>
    <w:rsid w:val="04B4433A"/>
    <w:rsid w:val="053561B7"/>
    <w:rsid w:val="05511762"/>
    <w:rsid w:val="057B3866"/>
    <w:rsid w:val="05962AA0"/>
    <w:rsid w:val="05A920AC"/>
    <w:rsid w:val="05BB6C1C"/>
    <w:rsid w:val="060A04C8"/>
    <w:rsid w:val="06270DB3"/>
    <w:rsid w:val="067338BC"/>
    <w:rsid w:val="067A15E8"/>
    <w:rsid w:val="06D632CB"/>
    <w:rsid w:val="06E63C75"/>
    <w:rsid w:val="06FD35CF"/>
    <w:rsid w:val="073A6660"/>
    <w:rsid w:val="07420906"/>
    <w:rsid w:val="07772669"/>
    <w:rsid w:val="089144F5"/>
    <w:rsid w:val="0891655E"/>
    <w:rsid w:val="08AE74E7"/>
    <w:rsid w:val="09084FAF"/>
    <w:rsid w:val="0A333303"/>
    <w:rsid w:val="0AA87CD5"/>
    <w:rsid w:val="0ABC1AFF"/>
    <w:rsid w:val="0AD804BE"/>
    <w:rsid w:val="0B4473EB"/>
    <w:rsid w:val="0B770E5E"/>
    <w:rsid w:val="0BE27A58"/>
    <w:rsid w:val="0C115CC4"/>
    <w:rsid w:val="0CB41C69"/>
    <w:rsid w:val="0CB4688C"/>
    <w:rsid w:val="0CC129C6"/>
    <w:rsid w:val="0CD968FA"/>
    <w:rsid w:val="0D11459E"/>
    <w:rsid w:val="0D334FB2"/>
    <w:rsid w:val="0D4E5810"/>
    <w:rsid w:val="0D69522E"/>
    <w:rsid w:val="0DF420BB"/>
    <w:rsid w:val="0DF80D7C"/>
    <w:rsid w:val="0E113645"/>
    <w:rsid w:val="0E162E33"/>
    <w:rsid w:val="0E5878D5"/>
    <w:rsid w:val="0E826749"/>
    <w:rsid w:val="0E8F2C18"/>
    <w:rsid w:val="0EB3282D"/>
    <w:rsid w:val="0EDA2642"/>
    <w:rsid w:val="0EF4760C"/>
    <w:rsid w:val="0F0B5058"/>
    <w:rsid w:val="0F1C5BF0"/>
    <w:rsid w:val="0F2B61EE"/>
    <w:rsid w:val="0F891B75"/>
    <w:rsid w:val="0FED3362"/>
    <w:rsid w:val="10093311"/>
    <w:rsid w:val="10AE558D"/>
    <w:rsid w:val="10FF1950"/>
    <w:rsid w:val="11222F31"/>
    <w:rsid w:val="11490527"/>
    <w:rsid w:val="11C76270"/>
    <w:rsid w:val="12233EBE"/>
    <w:rsid w:val="12744693"/>
    <w:rsid w:val="12873CEC"/>
    <w:rsid w:val="12906B67"/>
    <w:rsid w:val="12943E15"/>
    <w:rsid w:val="12A24911"/>
    <w:rsid w:val="12C12C69"/>
    <w:rsid w:val="131F2336"/>
    <w:rsid w:val="132574EF"/>
    <w:rsid w:val="132D5588"/>
    <w:rsid w:val="144C5B26"/>
    <w:rsid w:val="1457028E"/>
    <w:rsid w:val="14975FC6"/>
    <w:rsid w:val="14AF166E"/>
    <w:rsid w:val="14DF4931"/>
    <w:rsid w:val="15235509"/>
    <w:rsid w:val="152F7628"/>
    <w:rsid w:val="154B0581"/>
    <w:rsid w:val="159E08BD"/>
    <w:rsid w:val="15C67906"/>
    <w:rsid w:val="16183D7E"/>
    <w:rsid w:val="16AA4303"/>
    <w:rsid w:val="172061C0"/>
    <w:rsid w:val="17E25E13"/>
    <w:rsid w:val="18416B80"/>
    <w:rsid w:val="184A56D3"/>
    <w:rsid w:val="188F0251"/>
    <w:rsid w:val="18B40E07"/>
    <w:rsid w:val="18BC150E"/>
    <w:rsid w:val="190165E1"/>
    <w:rsid w:val="19135473"/>
    <w:rsid w:val="193F3F89"/>
    <w:rsid w:val="19752B29"/>
    <w:rsid w:val="19CA53FA"/>
    <w:rsid w:val="19DB1350"/>
    <w:rsid w:val="19FD668F"/>
    <w:rsid w:val="1A202977"/>
    <w:rsid w:val="1A2C532E"/>
    <w:rsid w:val="1AAD750E"/>
    <w:rsid w:val="1ACA2DF7"/>
    <w:rsid w:val="1ACB7AE9"/>
    <w:rsid w:val="1ADB1C88"/>
    <w:rsid w:val="1B5D7D33"/>
    <w:rsid w:val="1B966FC0"/>
    <w:rsid w:val="1C182B95"/>
    <w:rsid w:val="1C370CB2"/>
    <w:rsid w:val="1C406BC1"/>
    <w:rsid w:val="1CA51F38"/>
    <w:rsid w:val="1CC3036C"/>
    <w:rsid w:val="1D326A32"/>
    <w:rsid w:val="1DAB63AE"/>
    <w:rsid w:val="1DC32BFE"/>
    <w:rsid w:val="1E327D42"/>
    <w:rsid w:val="1E3876B7"/>
    <w:rsid w:val="1E410A3A"/>
    <w:rsid w:val="1EA61285"/>
    <w:rsid w:val="1F812658"/>
    <w:rsid w:val="1FB559CC"/>
    <w:rsid w:val="1FB66908"/>
    <w:rsid w:val="1FB9262F"/>
    <w:rsid w:val="1FC85C27"/>
    <w:rsid w:val="1FD43517"/>
    <w:rsid w:val="205E40D8"/>
    <w:rsid w:val="209638D5"/>
    <w:rsid w:val="209D75E3"/>
    <w:rsid w:val="210D7303"/>
    <w:rsid w:val="21800870"/>
    <w:rsid w:val="22093813"/>
    <w:rsid w:val="2281026B"/>
    <w:rsid w:val="235042A0"/>
    <w:rsid w:val="24060F3A"/>
    <w:rsid w:val="24224BA0"/>
    <w:rsid w:val="24395D65"/>
    <w:rsid w:val="243D0CCF"/>
    <w:rsid w:val="24964E80"/>
    <w:rsid w:val="24A45410"/>
    <w:rsid w:val="24C11F34"/>
    <w:rsid w:val="24C70687"/>
    <w:rsid w:val="25312133"/>
    <w:rsid w:val="253D5817"/>
    <w:rsid w:val="255A38CC"/>
    <w:rsid w:val="26033093"/>
    <w:rsid w:val="262718DA"/>
    <w:rsid w:val="26300830"/>
    <w:rsid w:val="26446C9A"/>
    <w:rsid w:val="264C0FAB"/>
    <w:rsid w:val="26681E83"/>
    <w:rsid w:val="26E640B5"/>
    <w:rsid w:val="26FA7E07"/>
    <w:rsid w:val="273F4DE4"/>
    <w:rsid w:val="274C4C3B"/>
    <w:rsid w:val="28181D35"/>
    <w:rsid w:val="283E6EF1"/>
    <w:rsid w:val="285D34A8"/>
    <w:rsid w:val="28D93CC6"/>
    <w:rsid w:val="29A25394"/>
    <w:rsid w:val="2A1335D9"/>
    <w:rsid w:val="2A1B0660"/>
    <w:rsid w:val="2A7D77C9"/>
    <w:rsid w:val="2AB14E23"/>
    <w:rsid w:val="2AB92411"/>
    <w:rsid w:val="2AD840AC"/>
    <w:rsid w:val="2AE705C6"/>
    <w:rsid w:val="2B033061"/>
    <w:rsid w:val="2B285F9E"/>
    <w:rsid w:val="2B416987"/>
    <w:rsid w:val="2B43554D"/>
    <w:rsid w:val="2B65513B"/>
    <w:rsid w:val="2B6B3DBE"/>
    <w:rsid w:val="2B8261B0"/>
    <w:rsid w:val="2B842844"/>
    <w:rsid w:val="2BC950EE"/>
    <w:rsid w:val="2BD1149B"/>
    <w:rsid w:val="2C285DD6"/>
    <w:rsid w:val="2C453309"/>
    <w:rsid w:val="2C5D31C2"/>
    <w:rsid w:val="2C8B41B3"/>
    <w:rsid w:val="2CF61C08"/>
    <w:rsid w:val="2CFB50B1"/>
    <w:rsid w:val="2D010302"/>
    <w:rsid w:val="2D22376F"/>
    <w:rsid w:val="2D493035"/>
    <w:rsid w:val="2D5D6C2A"/>
    <w:rsid w:val="2DF4360A"/>
    <w:rsid w:val="2E363948"/>
    <w:rsid w:val="2E61295F"/>
    <w:rsid w:val="2EDB3B23"/>
    <w:rsid w:val="2EEA43B0"/>
    <w:rsid w:val="2F10022F"/>
    <w:rsid w:val="2F2857B0"/>
    <w:rsid w:val="2F4B1E0E"/>
    <w:rsid w:val="2FAB4025"/>
    <w:rsid w:val="2FB234CB"/>
    <w:rsid w:val="2FE34E36"/>
    <w:rsid w:val="301208C3"/>
    <w:rsid w:val="301A331E"/>
    <w:rsid w:val="30297EAA"/>
    <w:rsid w:val="303223C5"/>
    <w:rsid w:val="305C6756"/>
    <w:rsid w:val="307A1A25"/>
    <w:rsid w:val="30CF12A2"/>
    <w:rsid w:val="313971B2"/>
    <w:rsid w:val="315F2D2A"/>
    <w:rsid w:val="316968C9"/>
    <w:rsid w:val="31972E98"/>
    <w:rsid w:val="31AB7776"/>
    <w:rsid w:val="31B13BD6"/>
    <w:rsid w:val="31BA09A1"/>
    <w:rsid w:val="31C637B3"/>
    <w:rsid w:val="31E1316D"/>
    <w:rsid w:val="329B0F2C"/>
    <w:rsid w:val="32F867AD"/>
    <w:rsid w:val="336D2238"/>
    <w:rsid w:val="33775AEE"/>
    <w:rsid w:val="339D682F"/>
    <w:rsid w:val="33FF64FD"/>
    <w:rsid w:val="340466FF"/>
    <w:rsid w:val="347251BD"/>
    <w:rsid w:val="348B2451"/>
    <w:rsid w:val="348F5EBC"/>
    <w:rsid w:val="34E432C8"/>
    <w:rsid w:val="354A4E9D"/>
    <w:rsid w:val="35503A77"/>
    <w:rsid w:val="3560043E"/>
    <w:rsid w:val="35647E5E"/>
    <w:rsid w:val="357042F4"/>
    <w:rsid w:val="358E062C"/>
    <w:rsid w:val="358E78D1"/>
    <w:rsid w:val="35F42EB6"/>
    <w:rsid w:val="36540462"/>
    <w:rsid w:val="3698387F"/>
    <w:rsid w:val="36BF1C89"/>
    <w:rsid w:val="36C4368E"/>
    <w:rsid w:val="3857216B"/>
    <w:rsid w:val="38787EED"/>
    <w:rsid w:val="3A083B7F"/>
    <w:rsid w:val="3A103B27"/>
    <w:rsid w:val="3A383E4C"/>
    <w:rsid w:val="3A3A5FE8"/>
    <w:rsid w:val="3A421DF1"/>
    <w:rsid w:val="3A497D44"/>
    <w:rsid w:val="3A5016F8"/>
    <w:rsid w:val="3A611F06"/>
    <w:rsid w:val="3A6213BC"/>
    <w:rsid w:val="3A881E65"/>
    <w:rsid w:val="3AF94EE4"/>
    <w:rsid w:val="3B1D7AAF"/>
    <w:rsid w:val="3B946619"/>
    <w:rsid w:val="3BAD1A9D"/>
    <w:rsid w:val="3C0E7FA6"/>
    <w:rsid w:val="3C2013D4"/>
    <w:rsid w:val="3C4C22E6"/>
    <w:rsid w:val="3C503283"/>
    <w:rsid w:val="3C9A2C78"/>
    <w:rsid w:val="3CF7709A"/>
    <w:rsid w:val="3D3533AE"/>
    <w:rsid w:val="3D3B077A"/>
    <w:rsid w:val="3D850798"/>
    <w:rsid w:val="3E337943"/>
    <w:rsid w:val="3E467869"/>
    <w:rsid w:val="3E9A648F"/>
    <w:rsid w:val="3EA2160F"/>
    <w:rsid w:val="3F4E0BA3"/>
    <w:rsid w:val="3F4F7381"/>
    <w:rsid w:val="3F760707"/>
    <w:rsid w:val="3FAC5B4F"/>
    <w:rsid w:val="3FC819C5"/>
    <w:rsid w:val="3FF342D3"/>
    <w:rsid w:val="3FFA6D0B"/>
    <w:rsid w:val="402339E9"/>
    <w:rsid w:val="40291827"/>
    <w:rsid w:val="405C5654"/>
    <w:rsid w:val="4066071A"/>
    <w:rsid w:val="40E33DDC"/>
    <w:rsid w:val="414049E3"/>
    <w:rsid w:val="418A52C2"/>
    <w:rsid w:val="4198171F"/>
    <w:rsid w:val="4219649F"/>
    <w:rsid w:val="42CC16F0"/>
    <w:rsid w:val="42FA00F6"/>
    <w:rsid w:val="43712067"/>
    <w:rsid w:val="43E0456D"/>
    <w:rsid w:val="43F00399"/>
    <w:rsid w:val="43F876C6"/>
    <w:rsid w:val="43F96FAA"/>
    <w:rsid w:val="44175486"/>
    <w:rsid w:val="44255362"/>
    <w:rsid w:val="4454484D"/>
    <w:rsid w:val="44571700"/>
    <w:rsid w:val="44754AAC"/>
    <w:rsid w:val="449513D7"/>
    <w:rsid w:val="458C1813"/>
    <w:rsid w:val="459C153C"/>
    <w:rsid w:val="45A83718"/>
    <w:rsid w:val="45B129D1"/>
    <w:rsid w:val="460D6FBC"/>
    <w:rsid w:val="46494104"/>
    <w:rsid w:val="464B7B94"/>
    <w:rsid w:val="46DB1B5D"/>
    <w:rsid w:val="46E304F4"/>
    <w:rsid w:val="47387084"/>
    <w:rsid w:val="474B4ECE"/>
    <w:rsid w:val="47771F2A"/>
    <w:rsid w:val="47AB2930"/>
    <w:rsid w:val="47C17854"/>
    <w:rsid w:val="47D96DC2"/>
    <w:rsid w:val="490456BD"/>
    <w:rsid w:val="49065BD3"/>
    <w:rsid w:val="49280EB3"/>
    <w:rsid w:val="49CD5922"/>
    <w:rsid w:val="49EE6C7B"/>
    <w:rsid w:val="4A2B102C"/>
    <w:rsid w:val="4A524656"/>
    <w:rsid w:val="4ADB79B0"/>
    <w:rsid w:val="4AF863A1"/>
    <w:rsid w:val="4AFE543C"/>
    <w:rsid w:val="4B5B6FA4"/>
    <w:rsid w:val="4C0D101F"/>
    <w:rsid w:val="4C476142"/>
    <w:rsid w:val="4C562740"/>
    <w:rsid w:val="4C6D5BE6"/>
    <w:rsid w:val="4C7D3EDB"/>
    <w:rsid w:val="4C890E80"/>
    <w:rsid w:val="4CD309BC"/>
    <w:rsid w:val="4D07276C"/>
    <w:rsid w:val="4D5A56D8"/>
    <w:rsid w:val="4DAA1FC5"/>
    <w:rsid w:val="4DAC66DE"/>
    <w:rsid w:val="4DCB0E7E"/>
    <w:rsid w:val="4DD772A8"/>
    <w:rsid w:val="4DFB3F54"/>
    <w:rsid w:val="4E6426C4"/>
    <w:rsid w:val="4EA510DA"/>
    <w:rsid w:val="4F1F604E"/>
    <w:rsid w:val="4FD156E2"/>
    <w:rsid w:val="50662431"/>
    <w:rsid w:val="50BC6333"/>
    <w:rsid w:val="5117240B"/>
    <w:rsid w:val="51351AE5"/>
    <w:rsid w:val="5139227B"/>
    <w:rsid w:val="517719EC"/>
    <w:rsid w:val="51B60118"/>
    <w:rsid w:val="51D051A9"/>
    <w:rsid w:val="51E75E1A"/>
    <w:rsid w:val="52124102"/>
    <w:rsid w:val="525B29FA"/>
    <w:rsid w:val="52680377"/>
    <w:rsid w:val="52AC710A"/>
    <w:rsid w:val="536059C9"/>
    <w:rsid w:val="536963DE"/>
    <w:rsid w:val="53833F31"/>
    <w:rsid w:val="53AE6966"/>
    <w:rsid w:val="546E099C"/>
    <w:rsid w:val="54734CCB"/>
    <w:rsid w:val="547E3028"/>
    <w:rsid w:val="54E32696"/>
    <w:rsid w:val="55027F7F"/>
    <w:rsid w:val="555025F5"/>
    <w:rsid w:val="559A48D6"/>
    <w:rsid w:val="55B6502A"/>
    <w:rsid w:val="5668563F"/>
    <w:rsid w:val="566C52C9"/>
    <w:rsid w:val="566C7730"/>
    <w:rsid w:val="567627D9"/>
    <w:rsid w:val="56814911"/>
    <w:rsid w:val="56A5299D"/>
    <w:rsid w:val="56EC7DCF"/>
    <w:rsid w:val="57497AAA"/>
    <w:rsid w:val="5758222A"/>
    <w:rsid w:val="579E7C19"/>
    <w:rsid w:val="581602EF"/>
    <w:rsid w:val="581E4031"/>
    <w:rsid w:val="584F0574"/>
    <w:rsid w:val="5852070B"/>
    <w:rsid w:val="58B80F69"/>
    <w:rsid w:val="591D48FD"/>
    <w:rsid w:val="59735B81"/>
    <w:rsid w:val="5986297F"/>
    <w:rsid w:val="59905508"/>
    <w:rsid w:val="59AE5695"/>
    <w:rsid w:val="5A0B5E16"/>
    <w:rsid w:val="5A6A3B3C"/>
    <w:rsid w:val="5A920076"/>
    <w:rsid w:val="5A987CFA"/>
    <w:rsid w:val="5B552FBC"/>
    <w:rsid w:val="5B863CAA"/>
    <w:rsid w:val="5B8D7E52"/>
    <w:rsid w:val="5B982C84"/>
    <w:rsid w:val="5BA110F4"/>
    <w:rsid w:val="5BE40BD7"/>
    <w:rsid w:val="5BE72371"/>
    <w:rsid w:val="5C10495C"/>
    <w:rsid w:val="5C2062B6"/>
    <w:rsid w:val="5C5C1543"/>
    <w:rsid w:val="5C840DDB"/>
    <w:rsid w:val="5CB66BBB"/>
    <w:rsid w:val="5CB722AA"/>
    <w:rsid w:val="5CBD16EA"/>
    <w:rsid w:val="5D203217"/>
    <w:rsid w:val="5D3E6B12"/>
    <w:rsid w:val="5D8957BA"/>
    <w:rsid w:val="5D8A38BA"/>
    <w:rsid w:val="5D8F4713"/>
    <w:rsid w:val="5DB80DF9"/>
    <w:rsid w:val="5DC31BF3"/>
    <w:rsid w:val="5DCC0F68"/>
    <w:rsid w:val="5DE52998"/>
    <w:rsid w:val="5E3B71C4"/>
    <w:rsid w:val="5E3B7C85"/>
    <w:rsid w:val="5E6B6B25"/>
    <w:rsid w:val="5EC51F04"/>
    <w:rsid w:val="5F043CD0"/>
    <w:rsid w:val="5F7E449C"/>
    <w:rsid w:val="5FAD7C6F"/>
    <w:rsid w:val="5FB33757"/>
    <w:rsid w:val="5FF611CB"/>
    <w:rsid w:val="601B521E"/>
    <w:rsid w:val="608A1D7B"/>
    <w:rsid w:val="60AD263B"/>
    <w:rsid w:val="60BE4E2A"/>
    <w:rsid w:val="60DD0E1E"/>
    <w:rsid w:val="60DE6CE0"/>
    <w:rsid w:val="60F92A78"/>
    <w:rsid w:val="61276A52"/>
    <w:rsid w:val="61343FF5"/>
    <w:rsid w:val="61505A53"/>
    <w:rsid w:val="61836963"/>
    <w:rsid w:val="61F321F5"/>
    <w:rsid w:val="62074763"/>
    <w:rsid w:val="62524536"/>
    <w:rsid w:val="626C2899"/>
    <w:rsid w:val="62764546"/>
    <w:rsid w:val="627B72B6"/>
    <w:rsid w:val="629F6725"/>
    <w:rsid w:val="62A00660"/>
    <w:rsid w:val="62AA5A7B"/>
    <w:rsid w:val="62BF7245"/>
    <w:rsid w:val="62ED13FE"/>
    <w:rsid w:val="62FF768A"/>
    <w:rsid w:val="631324DB"/>
    <w:rsid w:val="63154B74"/>
    <w:rsid w:val="633E2EF6"/>
    <w:rsid w:val="63552501"/>
    <w:rsid w:val="636B1180"/>
    <w:rsid w:val="63BA049A"/>
    <w:rsid w:val="63CD4B0C"/>
    <w:rsid w:val="63FD6911"/>
    <w:rsid w:val="64000506"/>
    <w:rsid w:val="64101774"/>
    <w:rsid w:val="643D5178"/>
    <w:rsid w:val="648577AA"/>
    <w:rsid w:val="64917EC2"/>
    <w:rsid w:val="64EE10B1"/>
    <w:rsid w:val="650810E7"/>
    <w:rsid w:val="653D1756"/>
    <w:rsid w:val="654F31AD"/>
    <w:rsid w:val="65935145"/>
    <w:rsid w:val="65E82FA1"/>
    <w:rsid w:val="661242F7"/>
    <w:rsid w:val="66137F41"/>
    <w:rsid w:val="665668EA"/>
    <w:rsid w:val="66643126"/>
    <w:rsid w:val="66833E92"/>
    <w:rsid w:val="66D212C5"/>
    <w:rsid w:val="66FD66BF"/>
    <w:rsid w:val="67240C23"/>
    <w:rsid w:val="67754171"/>
    <w:rsid w:val="67C727ED"/>
    <w:rsid w:val="68087D35"/>
    <w:rsid w:val="68166CFD"/>
    <w:rsid w:val="681E72C1"/>
    <w:rsid w:val="68313917"/>
    <w:rsid w:val="688A223F"/>
    <w:rsid w:val="68D21B73"/>
    <w:rsid w:val="68EA0E1C"/>
    <w:rsid w:val="69336B54"/>
    <w:rsid w:val="693F2CD9"/>
    <w:rsid w:val="69507531"/>
    <w:rsid w:val="69F824F1"/>
    <w:rsid w:val="6A2B0EED"/>
    <w:rsid w:val="6A561D2C"/>
    <w:rsid w:val="6A771BDE"/>
    <w:rsid w:val="6A80623B"/>
    <w:rsid w:val="6AD94D26"/>
    <w:rsid w:val="6ADB5432"/>
    <w:rsid w:val="6AEB6DEF"/>
    <w:rsid w:val="6AF25428"/>
    <w:rsid w:val="6B074D6A"/>
    <w:rsid w:val="6B0E6F16"/>
    <w:rsid w:val="6B523F0F"/>
    <w:rsid w:val="6B610FA2"/>
    <w:rsid w:val="6BC8654E"/>
    <w:rsid w:val="6C14761B"/>
    <w:rsid w:val="6C30440B"/>
    <w:rsid w:val="6C32321B"/>
    <w:rsid w:val="6C443CD2"/>
    <w:rsid w:val="6C5A5FC9"/>
    <w:rsid w:val="6C8A1906"/>
    <w:rsid w:val="6D6600E9"/>
    <w:rsid w:val="6E2927F3"/>
    <w:rsid w:val="6E375327"/>
    <w:rsid w:val="6F1639A7"/>
    <w:rsid w:val="6F173940"/>
    <w:rsid w:val="6F620FC3"/>
    <w:rsid w:val="6F7E0C4F"/>
    <w:rsid w:val="6F7E367B"/>
    <w:rsid w:val="6FAF0090"/>
    <w:rsid w:val="6FC51577"/>
    <w:rsid w:val="702922EF"/>
    <w:rsid w:val="70905A53"/>
    <w:rsid w:val="709665A4"/>
    <w:rsid w:val="70C46869"/>
    <w:rsid w:val="70EB1ED4"/>
    <w:rsid w:val="71864CD0"/>
    <w:rsid w:val="71B81E99"/>
    <w:rsid w:val="722A1572"/>
    <w:rsid w:val="726E239B"/>
    <w:rsid w:val="72873141"/>
    <w:rsid w:val="72C473E7"/>
    <w:rsid w:val="73061303"/>
    <w:rsid w:val="73521F74"/>
    <w:rsid w:val="73A55CE7"/>
    <w:rsid w:val="73CD15E7"/>
    <w:rsid w:val="73FD3FBA"/>
    <w:rsid w:val="741B49A4"/>
    <w:rsid w:val="74243BBA"/>
    <w:rsid w:val="74436249"/>
    <w:rsid w:val="747A74AE"/>
    <w:rsid w:val="747D1D32"/>
    <w:rsid w:val="74824DE9"/>
    <w:rsid w:val="750112D3"/>
    <w:rsid w:val="753B4372"/>
    <w:rsid w:val="753C72E9"/>
    <w:rsid w:val="7560113C"/>
    <w:rsid w:val="75F43B29"/>
    <w:rsid w:val="763808D2"/>
    <w:rsid w:val="766353BD"/>
    <w:rsid w:val="76881317"/>
    <w:rsid w:val="76EB6B01"/>
    <w:rsid w:val="779D29D1"/>
    <w:rsid w:val="779E0ACE"/>
    <w:rsid w:val="77A52507"/>
    <w:rsid w:val="77EC38F7"/>
    <w:rsid w:val="78012592"/>
    <w:rsid w:val="78460916"/>
    <w:rsid w:val="785C10FA"/>
    <w:rsid w:val="78716A06"/>
    <w:rsid w:val="788A2FFA"/>
    <w:rsid w:val="78A806D6"/>
    <w:rsid w:val="78B173C8"/>
    <w:rsid w:val="794322FF"/>
    <w:rsid w:val="7985411B"/>
    <w:rsid w:val="799B363B"/>
    <w:rsid w:val="79BE40EB"/>
    <w:rsid w:val="79D4756E"/>
    <w:rsid w:val="79DD39DA"/>
    <w:rsid w:val="79EA5504"/>
    <w:rsid w:val="7A09363C"/>
    <w:rsid w:val="7A0B5166"/>
    <w:rsid w:val="7A17403C"/>
    <w:rsid w:val="7A2573B3"/>
    <w:rsid w:val="7A315B46"/>
    <w:rsid w:val="7A95772E"/>
    <w:rsid w:val="7ABF6A8E"/>
    <w:rsid w:val="7AC0609F"/>
    <w:rsid w:val="7ACF1153"/>
    <w:rsid w:val="7AD578D2"/>
    <w:rsid w:val="7B15497F"/>
    <w:rsid w:val="7B274348"/>
    <w:rsid w:val="7B575531"/>
    <w:rsid w:val="7B812F83"/>
    <w:rsid w:val="7B9263E3"/>
    <w:rsid w:val="7BD93EB2"/>
    <w:rsid w:val="7C090F7C"/>
    <w:rsid w:val="7C0F39F4"/>
    <w:rsid w:val="7C6E29BA"/>
    <w:rsid w:val="7C737734"/>
    <w:rsid w:val="7CCA15CE"/>
    <w:rsid w:val="7CE40A04"/>
    <w:rsid w:val="7CEE3805"/>
    <w:rsid w:val="7D5C4999"/>
    <w:rsid w:val="7E6977B5"/>
    <w:rsid w:val="7E93687D"/>
    <w:rsid w:val="7EDA46A2"/>
    <w:rsid w:val="7F681CD9"/>
    <w:rsid w:val="7F6F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480" w:lineRule="auto"/>
      <w:ind w:firstLine="72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spacing w:before="0" w:beforeAutospacing="1" w:after="0" w:afterAutospacing="1" w:line="480" w:lineRule="auto"/>
      <w:ind w:firstLine="0"/>
      <w:jc w:val="left"/>
    </w:pPr>
    <w:rPr>
      <w:rFonts w:hint="eastAsia" w:ascii="Times New Roman" w:hAnsi="Times New Roman" w:eastAsia="Times New Roman" w:cs="宋体"/>
      <w:b/>
      <w:bCs/>
      <w:kern w:val="44"/>
      <w:sz w:val="24"/>
      <w:szCs w:val="48"/>
      <w:lang w:val="en-US" w:eastAsia="zh-CN" w:bidi="ar"/>
    </w:rPr>
  </w:style>
  <w:style w:type="paragraph" w:styleId="3">
    <w:name w:val="heading 2"/>
    <w:basedOn w:val="1"/>
    <w:next w:val="1"/>
    <w:semiHidden/>
    <w:unhideWhenUsed/>
    <w:qFormat/>
    <w:uiPriority w:val="0"/>
    <w:pPr>
      <w:spacing w:before="0" w:beforeAutospacing="1" w:after="0" w:afterAutospacing="1" w:line="480" w:lineRule="auto"/>
      <w:ind w:firstLine="0"/>
      <w:jc w:val="left"/>
    </w:pPr>
    <w:rPr>
      <w:rFonts w:hint="eastAsia" w:ascii="Times New Roman" w:hAnsi="Times New Roman" w:eastAsia="Times New Roman" w:cs="宋体"/>
      <w:b/>
      <w:bCs/>
      <w:kern w:val="0"/>
      <w:sz w:val="24"/>
      <w:szCs w:val="36"/>
      <w:lang w:val="en-US" w:eastAsia="zh-CN" w:bidi="ar"/>
    </w:rPr>
  </w:style>
  <w:style w:type="paragraph" w:styleId="4">
    <w:name w:val="heading 3"/>
    <w:basedOn w:val="1"/>
    <w:next w:val="1"/>
    <w:semiHidden/>
    <w:unhideWhenUsed/>
    <w:qFormat/>
    <w:uiPriority w:val="0"/>
    <w:pPr>
      <w:spacing w:before="0" w:beforeAutospacing="1" w:after="0" w:afterAutospacing="1" w:line="480" w:lineRule="auto"/>
      <w:ind w:firstLine="0"/>
      <w:jc w:val="left"/>
    </w:pPr>
    <w:rPr>
      <w:rFonts w:hint="eastAsia" w:ascii="Times New Roman" w:hAnsi="Times New Roman" w:eastAsia="Times New Roman" w:cs="宋体"/>
      <w:b/>
      <w:bCs/>
      <w:i/>
      <w:kern w:val="0"/>
      <w:sz w:val="24"/>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qFormat/>
    <w:uiPriority w:val="0"/>
    <w:rPr>
      <w:color w:val="0000FF"/>
      <w:u w:val="single"/>
    </w:rPr>
  </w:style>
  <w:style w:type="paragraph" w:customStyle="1" w:styleId="10">
    <w:name w:val="标题黑体四号"/>
    <w:basedOn w:val="1"/>
    <w:qFormat/>
    <w:uiPriority w:val="0"/>
    <w:pPr>
      <w:spacing w:line="360" w:lineRule="auto"/>
    </w:pPr>
    <w:rPr>
      <w:rFonts w:hint="eastAsia" w:ascii="宋体" w:hAnsi="宋体" w:eastAsia="宋体" w:cs="宋体"/>
      <w:b/>
      <w:sz w:val="24"/>
    </w:rPr>
  </w:style>
  <w:style w:type="paragraph" w:customStyle="1" w:styleId="11">
    <w:name w:val="正文宋体小四"/>
    <w:basedOn w:val="1"/>
    <w:qFormat/>
    <w:uiPriority w:val="0"/>
    <w:pPr>
      <w:spacing w:line="360" w:lineRule="auto"/>
      <w:ind w:firstLine="643" w:firstLineChars="200"/>
    </w:pPr>
    <w:rPr>
      <w:rFonts w:hint="eastAsia" w:ascii="宋体" w:hAnsi="宋体" w:eastAsia="宋体" w:cs="宋体"/>
      <w:sz w:val="24"/>
    </w:rPr>
  </w:style>
  <w:style w:type="paragraph" w:customStyle="1" w:styleId="12">
    <w:name w:val="APA Numbered List"/>
    <w:uiPriority w:val="0"/>
    <w:pPr>
      <w:spacing w:before="0" w:after="0" w:line="480" w:lineRule="auto"/>
      <w:ind w:left="720" w:hanging="360"/>
    </w:pPr>
    <w:rPr>
      <w:rFonts w:ascii="Times New Roman" w:hAnsi="Times New Roman" w:eastAsia="Times New Roman" w:cs="Times New Roman"/>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3671</Words>
  <Characters>22006</Characters>
  <Lines>0</Lines>
  <Paragraphs>0</Paragraphs>
  <TotalTime>8</TotalTime>
  <ScaleCrop>false</ScaleCrop>
  <LinksUpToDate>false</LinksUpToDate>
  <CharactersWithSpaces>25560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gejj</dc:creator>
  <cp:lastModifiedBy>汤姆</cp:lastModifiedBy>
  <dcterms:modified xsi:type="dcterms:W3CDTF">2026-08-14T05:29:46Z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E182B5DF051E4A2EBFF94D59A2E1FB5A_12</vt:lpwstr>
  </property>
  <property fmtid="{D5CDD505-2E9C-101B-9397-08002B2CF9AE}" pid="4" name="KSOTemplateDocerSaveRecord">
    <vt:lpwstr>eyJoZGlkIjoiNDYxNGM0OGJlNTUxMzk0OTc0Y2VmNTUxNmE1NWIwMGYiLCJ1c2VySWQiOiIxNjkxMzU0MTc2In0=</vt:lpwstr>
  </property>
</Properties>
</file>