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Types>
</file>

<file path=_rels/.rels><?xml version="1.0" encoding="UTF-8"?>
<Relationships xmlns="http://schemas.openxmlformats.org/package/2006/relationships">
  <Relationship Id="rId1" Type="http://schemas.openxmlformats.org/officeDocument/2006/relationships/officeDocument" Target="word/document.xml"></Relationship>
  <Relationship Id="rId2" Type="http://schemas.openxmlformats.org/officeDocument/2006/relationships/custom-properties" Target="docProps/custom.xml"></Relationship>
</Relationships>
</file>

<file path=word/document.xml><?xml version="1.0" encoding="utf-8"?>
<w:document xmlns:w="http://schemas.openxmlformats.org/wordprocessingml/2006/main" xmlns:w15="http://schemas.microsoft.com/office/word/2012/wordml" xmlns:wp="http://schemas.openxmlformats.org/drawingml/2006/wordprocessingDrawing" xmlns:a="http://schemas.openxmlformats.org/drawingml/2006/main" xmlns:pic="http://schemas.openxmlformats.org/drawingml/2006/picture" xmlns:r="http://schemas.openxmlformats.org/officeDocument/2006/relationships">
  <w:body>
    <w:p>
      <w:pPr>
        <w:pStyle w:val="Heading1"/>
        <w:spacing w:before="0" w:after="200"/>
        <w:jc w:val="left"/>
      </w:pPr>
      <w:r>
        <w:rPr>
          <w:b/>
          <w:sz w:val="40"/>
        </w:rPr>
        <w:t xml:space="preserve">上海与吉隆坡大都市区特殊职业教育培训与就业安置比较：制度衔接、课程证书与就业转衔的实证研究（截至2026年6月26日）</w:t>
      </w:r>
    </w:p>
    <w:p>
      <w:pPr>
        <w:pStyle w:val="Heading2"/>
        <w:spacing w:before="0" w:after="200"/>
      </w:pPr>
      <w:r>
        <w:rPr>
          <w:b/>
          <w:sz w:val="36"/>
        </w:rPr>
        <w:t xml:space="preserve">摘要</w:t>
      </w:r>
    </w:p>
    <w:p>
      <w:r>
        <w:rPr/>
        <w:t xml:space="preserve">本研究以“中学后特殊教育—职业技能训练—技能证书—就业过渡—岗位对接—持续支持”为边界，比较上海与吉隆坡大都市区（Greater Kuala Lumpur）的实践。核心发现是：上海的制度优势不在于单项培训，而在于市级特殊中职政策、区教育局—学校—残联—企业的协同以及递进式岗位实践，但公开结果仍主要是参与率而非就业率；奉贤中专特教班2017年开办，中餐烹饪与营养膳食为四年制，2021年前后约30%学生“有过社会岗位实践经历”，并非毕业就业率[</w:t>
      </w:r>
      <w:r>
        <w:rPr/>
        <w:t xml:space="preserve">1][</w:t>
      </w:r>
      <w:r>
        <w:rPr/>
        <w:t xml:space="preserve">2][</w:t>
      </w:r>
      <w:r>
        <w:rPr/>
        <w:t xml:space="preserve">3]。相反，马来西亚存在SKM/JPK资格、Kolej Vokasional/TVET教育、KPWKM福利部庇护工场、NGO和企业支持等多部门供给，却没有一个可公开核验的统一转衔登记系统；SMPKV Shah Alam、SAMH Wisma Harapan（Brickfields）、Bengkel Daya</w:t>
      </w:r>
      <w:r>
        <w:rPr/>
        <w:t xml:space="preserve"> Klang和PLPP分别属于雪兰莪州、吉隆坡联邦直辖区或邻近地区，不能一概归入“吉隆坡市内”。公开资料不足以核验这些机构的统一年龄、障碍类别、SKM取证率、实习率或就业率。对文莱而言，优先事项不是复制两地产能，而是先建立跨部门个案数据、能力本位微证书、企业合理便利和毕业后追踪。</w:t>
      </w:r>
    </w:p>
    <w:p>
      <w:pPr>
        <w:spacing w:after="200"/>
      </w:pPr>
      <w:r>
        <w:t xml:space="preserve"> </w:t>
      </w:r>
    </w:p>
    <w:p>
      <w:pPr>
        <w:pStyle w:val="Heading2"/>
        <w:spacing w:before="0" w:after="200"/>
      </w:pPr>
      <w:r>
        <w:rPr>
          <w:b/>
          <w:sz w:val="36"/>
        </w:rPr>
        <w:t xml:space="preserve">一、研究问题、概念边界与资料限制</w:t>
      </w:r>
    </w:p>
    <w:p>
      <w:r>
        <w:rPr/>
        <w:t xml:space="preserve">**</w:t>
      </w:r>
      <w:r>
        <w:rPr/>
        <w:t xml:space="preserve">本研究比较的是就业转衔体系，而非泛泛的特殊教育学校清单。**</w:t>
      </w:r>
      <w:r>
        <w:rPr/>
        <w:t xml:space="preserve">研究问题有三：第一，上海与吉隆坡大都市区在特殊中职教育、技能认证和就业安置之间分别形成何种制度链条？第二，奉贤中专与四类指定机构各自可核验的服务对象、课程、证书、实习和毕业去向是什么？第三，哪些机制可迁移到文莱，且必须附带何种本地化条件？为避免把普通特殊学校、康复机构和完全融合的普通职业教育混为一谈，本文的“目标服务”是完成义务教育后、处于中学后期至青年初期、有职业训练及就业准备需求的残障者，尤其是智力障碍、自闭症谱系及相关发育障碍者；“中学后”指离开典型普通初中/高中后的继续教育，不要求所有机构均为正式中学。</w:t>
      </w:r>
    </w:p>
    <w:p>
      <w:pPr>
        <w:spacing w:after="200"/>
      </w:pPr>
      <w:r>
        <w:t xml:space="preserve"> </w:t>
      </w:r>
    </w:p>
    <w:p>
      <w:r>
        <w:rPr/>
        <w:t xml:space="preserve">概念上，“技能证书”必须区分教育部门资格与人力资源/技能部门资格：上海中职班可依据课程方案和校企合作获得中职教育资格、技能训练与岗位经历；马来西亚的SKM（Sijil Kemahiran Malaysia）是技能部门的国家技能资格，不能与教育部Kolej Vokasional资格、SLDN企业双轨训练或微证书简单等同[</w:t>
      </w:r>
      <w:r>
        <w:rPr/>
        <w:t xml:space="preserve">6][</w:t>
      </w:r>
      <w:r>
        <w:rPr/>
        <w:t xml:space="preserve">7]。PTK在本研究中不作为“某一固定证书”的缩写，而按使用者语境分别处理：当指JPK体系时，需核验其是否为Pengiktirafan Pengalaman Kerja/Tempat</w:t>
      </w:r>
      <w:r>
        <w:rPr/>
        <w:t xml:space="preserve"> Kerja等先前学习或工作场所认可；公开网页并未向本研究提供足以证明其统一适用于残障者的权威规范，故本文不虚构其层级或取证要求。若用户原意是P&amp;P、PB、VTO或SLDN中的特定文书，须另以JPK原始文件核验。</w:t>
      </w:r>
    </w:p>
    <w:p>
      <w:pPr>
        <w:spacing w:after="200"/>
      </w:pPr>
      <w:r>
        <w:t xml:space="preserve"> </w:t>
      </w:r>
    </w:p>
    <w:p>
      <w:r>
        <w:rPr/>
        <w:t xml:space="preserve">**</w:t>
      </w:r>
      <w:r>
        <w:rPr/>
        <w:t xml:space="preserve">资料可用性是结论本身，而不只是研究附录。**</w:t>
      </w:r>
      <w:r>
        <w:rPr/>
        <w:t xml:space="preserve">本研究采用政策文件分析、机构公开资料核验和结果比较法，资料截止日为2026年6月26日。上海资料以市、区政府与教育部门公开报道为主；马来西亚资料以联邦部门、机构网页、可识别媒体交叉资料为主。它不构成统计评估：除明确给出的30%实践参与概数和11名学生签署见习协议外，本文不把招生规模、基地数量、项目人数当作就业率。未公开的课程时长、费用、教师资质、障碍类别、毕业去向和就业保留率均明确标注“未核验”。尤其SAMH Wisma</w:t>
      </w:r>
      <w:r>
        <w:rPr/>
        <w:t xml:space="preserve"> Harapan的链接未能由本研究解析；因此有关其服务的表述只使用可访问的机构名录/二手公开信息作位置与定位佐证，不补写电话、地址、课程表或就业数字。</w:t>
      </w:r>
    </w:p>
    <w:p>
      <w:pPr>
        <w:spacing w:after="200"/>
      </w:pPr>
      <w:r>
        <w:t xml:space="preserve"> </w:t>
      </w:r>
    </w:p>
    <w:p>
      <w:pPr>
        <w:pStyle w:val="Heading2"/>
        <w:spacing w:before="0" w:after="200"/>
      </w:pPr>
      <w:r>
        <w:rPr>
          <w:b/>
          <w:sz w:val="36"/>
        </w:rPr>
        <w:t xml:space="preserve">二、上海的制度推进：从特殊中职课程方案到“一人一案”的区级转衔</w:t>
      </w:r>
    </w:p>
    <w:p>
      <w:r>
        <w:rPr>
          <w:b/>
        </w:rPr>
        <w:t xml:space="preserve">上海已把特殊中等职业教育从慈善式培训改写为教育、实习和就业服务共同负责的公共制度。</w:t>
      </w:r>
      <w:r>
        <w:rPr/>
        <w:t xml:space="preserve">《上海市特殊教育三年行动计划（2022—2024年）》提出继续办好盲、聋高中和特殊中职学校（班），修订特殊中职课程方案，协同学校与企业实施课堂与实习实训；同时要求利用普通职教资源建设实习实训基地，发挥残联、人社等部门作用，采用校企合作、订单式培养增加机会[</w:t>
      </w:r>
      <w:r>
        <w:rPr/>
        <w:t xml:space="preserve">5</w:t>
      </w:r>
      <w:r>
        <w:rPr/>
        <w:t xml:space="preserve">]。这不是“残联单独办就业”，而是教育部门承担课程与学生发展，残联承担就业服务资源与协同，人社和雇主承接真实岗位。其制度价值在于把转衔责任从学生毕业时后移到了入学后的课程设计、岗位认知、见习和就业服务。</w:t>
      </w:r>
    </w:p>
    <w:p>
      <w:pPr>
        <w:spacing w:after="200"/>
      </w:pPr>
      <w:r>
        <w:t xml:space="preserve"> </w:t>
      </w:r>
    </w:p>
    <w:p>
      <w:r>
        <w:rPr/>
        <w:t xml:space="preserve">上海政策还提出为学前、义务和高中教育阶段的每个残障儿童青少年建立数字化“一人一案”，把康复和保健纳入个别化教育计划，以各类评估结果调整计划[</w:t>
      </w:r>
      <w:r>
        <w:rPr/>
        <w:t xml:space="preserve">5]。这一表述表明政策目标是全过程的个别化支持，而非毕业前一次职业介绍。对智力障碍、自闭症等学生而言，合理便利也不仅是物理无障碍，还包括任务分解、视觉支持、重复示范、通讯辅助、岗位教练和</w:t>
      </w:r>
      <w:r>
        <w:rPr/>
        <w:t xml:space="preserve"> supervisors培训；这些支持在上海公开报道中有实践体现，但尚未见到统一量化标准。</w:t>
      </w:r>
    </w:p>
    <w:p>
      <w:pPr>
        <w:spacing w:after="200"/>
      </w:pPr>
      <w:r>
        <w:t xml:space="preserve"> </w:t>
      </w:r>
    </w:p>
    <w:p>
      <w:r>
        <w:rPr/>
        <w:t xml:space="preserve">**</w:t>
      </w:r>
      <w:r>
        <w:rPr/>
        <w:t xml:space="preserve">区级协同使“融合教育”从理念变成资源接口。**</w:t>
      </w:r>
      <w:r>
        <w:rPr/>
        <w:t xml:space="preserve">奉贤区的2024年特教21级顶岗见习推进会有区教育局、学校和区残联教育就业科共同参加，学校还专门解读顶岗见习方案与管理办法[</w:t>
      </w:r>
      <w:r>
        <w:rPr/>
        <w:t xml:space="preserve">4</w:t>
      </w:r>
      <w:r>
        <w:rPr/>
        <w:t xml:space="preserve">]。这意味着见习并非临时活动，而是至少包含部门协调、学生方案、岗位安排和管理责任。与之相比，企业名单、岗位类型、每生时长、薪酬、事故处理和支持人员配置没有公开，故只能确认“协同机制存在”，不能判断所有见习均达到竞争性就业、最低工资或无障碍标准。</w:t>
      </w:r>
    </w:p>
    <w:p>
      <w:pPr>
        <w:spacing w:after="200"/>
      </w:pPr>
      <w:r>
        <w:t xml:space="preserve"> </w:t>
      </w:r>
    </w:p>
    <w:p>
      <w:pPr>
        <w:pStyle w:val="Figure"/>
      </w:pPr>
      <w:r>
        <w:t/>
        <w:drawing>
          <wp:inline distT="0" distB="0" distL="0" distR="0">
            <wp:extent cx="4752000" cy="2941714"/>
            <wp:docPr id="1" name="图片 1" descr="上海奉贤已公开的是实践覆盖率，而非毕业生就业率" title="图片"/>
            <a:graphic xmlns:a="http://schemas.openxmlformats.org/drawingml/2006/main">
              <a:graphicData uri="http://schemas.openxmlformats.org/drawingml/2006/picture">
                <pic:pic xmlns:pic="http://schemas.openxmlformats.org/drawingml/2006/picture">
                  <pic:nvPicPr>
                    <pic:cNvPr id="1" name="图片 1" descr="上海奉贤已公开的是实践覆盖率，而非毕业生就业率" title="图片"/>
                    <pic:cNvPicPr>
                      <a:picLocks noChangeAspect="1"/>
                    </pic:cNvPicPr>
                  </pic:nvPicPr>
                  <pic:blipFill>
                    <a:blip r:embed="rId2"/>
                    <a:stretch>
                      <a:fillRect/>
                    </a:stretch>
                  </pic:blipFill>
                  <pic:spPr>
                    <a:xfrm>
                      <a:off x="0" y="0"/>
                      <a:ext cx="4752000" cy="2941714"/>
                    </a:xfrm>
                    <a:prstGeom prst="rect">
                      <a:avLst/>
                    </a:prstGeom>
                  </pic:spPr>
                </pic:pic>
              </a:graphicData>
            </a:graphic>
          </wp:inline>
        </w:drawing>
      </w:r>
    </w:p>
    <w:p>
      <w:pPr>
        <w:spacing w:after="200"/>
      </w:pPr>
      <w:r>
        <w:t xml:space="preserve"> </w:t>
      </w:r>
    </w:p>
    <w:p>
      <w:r>
        <w:rPr>
          <w:i/>
        </w:rPr>
        <w:t xml:space="preserve">图1：奉贤中专特教班已公开的实践参与指标。30%为社会岗位实践经历概数，校内基地按2021级和22级11名参与者/四个年级60余名学生估算；11人签署见习协议不表示11人已就业。数据来源：上海市奉贤区人民政府[</w:t>
      </w:r>
      <w:r>
        <w:rPr>
          <w:i/>
        </w:rPr>
        <w:t xml:space="preserve">2][</w:t>
      </w:r>
      <w:r>
        <w:rPr>
          <w:i/>
        </w:rPr>
        <w:t xml:space="preserve">3][</w:t>
      </w:r>
      <w:r>
        <w:rPr>
          <w:i/>
        </w:rPr>
        <w:t xml:space="preserve">4]。</w:t>
      </w:r>
    </w:p>
    <w:p>
      <w:pPr>
        <w:spacing w:after="200"/>
      </w:pPr>
      <w:r>
        <w:t xml:space="preserve"> </w:t>
      </w:r>
    </w:p>
    <w:p>
      <w:pPr>
        <w:pStyle w:val="Heading2"/>
        <w:spacing w:before="0" w:after="200"/>
      </w:pPr>
      <w:r>
        <w:rPr>
          <w:b/>
          <w:sz w:val="36"/>
        </w:rPr>
        <w:t xml:space="preserve">三、上海市奉贤中等专业学校案例：课程、评估、实习与去向的可核验事实</w:t>
      </w:r>
    </w:p>
    <w:p>
      <w:r>
        <w:rPr/>
        <w:t xml:space="preserve">**</w:t>
      </w:r>
      <w:r>
        <w:rPr/>
        <w:t xml:space="preserve">奉贤中专的特殊职业教育具有明确的教育身份、专业方向和四年学制。**</w:t>
      </w:r>
      <w:r>
        <w:rPr/>
        <w:t xml:space="preserve">公开资料表明，奉贤区于2017年9月在上海工商职业技术学校开办首个特教中职班，2020年1月更名为上海市奉贤中等专业学校特教中职班；专业为中餐烹饪与营养膳食，学制四年[</w:t>
      </w:r>
      <w:r>
        <w:rPr/>
        <w:t xml:space="preserve">3]。2021年报道在册53人，2023年报道四个年级60余人[</w:t>
      </w:r>
      <w:r>
        <w:rPr/>
        <w:t xml:space="preserve">2][</w:t>
      </w:r>
      <w:r>
        <w:rPr/>
        <w:t xml:space="preserve">3</w:t>
      </w:r>
      <w:r>
        <w:rPr/>
        <w:t xml:space="preserve">]。这一时间变化提示学生规模逐年扩大，但不能据两时点推算稳定招生率。招生对象在公开报道中表述为接受特殊教育的残疾学生，但没有发布统一的年龄、诊断类别、能力门槛和退出/转班规则；因此本文不把“心智障碍”当成全部学生的官方诊断。</w:t>
      </w:r>
    </w:p>
    <w:p>
      <w:pPr>
        <w:spacing w:after="200"/>
      </w:pPr>
      <w:r>
        <w:t xml:space="preserve"> </w:t>
      </w:r>
    </w:p>
    <w:p>
      <w:r>
        <w:rPr/>
        <w:t xml:space="preserve">**</w:t>
      </w:r>
      <w:r>
        <w:rPr/>
        <w:t xml:space="preserve">课程并非单纯学做菜，而是“公共基础—专业—康复/沟通—选修”的组合。**</w:t>
      </w:r>
      <w:r>
        <w:rPr/>
        <w:t xml:space="preserve">学校依照《上海市特殊中等职业教育学校（班）课程方案》，设置语文、数学、英语、信息技术、体育、音乐、中餐烹饪、中点制作和西点制作；选择性必修包括手工、礼仪形态、言语沟通、写字，选修包括插花、咖啡制作、理发和茶艺[</w:t>
      </w:r>
      <w:r>
        <w:rPr/>
        <w:t xml:space="preserve">3</w:t>
      </w:r>
      <w:r>
        <w:rPr/>
        <w:t xml:space="preserve">]。课程逻辑是先保证基本学业与沟通，再形成可市场化的烹饪、面点和饮品技能，而非把学生固定于低薪包装、清洁类任务。其优势是能力广度；风险是如果没有岗位匹配、生产力计时与雇主反馈，课程“丰富”未必转化为稳定岗位。</w:t>
      </w:r>
    </w:p>
    <w:p>
      <w:pPr>
        <w:spacing w:after="200"/>
      </w:pPr>
      <w:r>
        <w:t xml:space="preserve"> </w:t>
      </w:r>
    </w:p>
    <w:p>
      <w:r>
        <w:rPr/>
        <w:t xml:space="preserve">**</w:t>
      </w:r>
      <w:r>
        <w:rPr/>
        <w:t xml:space="preserve">评估公开的是协议与合作网络，而不是毕业认证体系。**</w:t>
      </w:r>
      <w:r>
        <w:rPr/>
        <w:t xml:space="preserve">公开报道曾称三年间签有3家跟岗见习教学基地、18家顶岗见习校外实践基地，其中7家企业与2017级11名特教学生签见习协议[</w:t>
      </w:r>
      <w:r>
        <w:rPr/>
        <w:t xml:space="preserve">3]。这是“合作供给”和“个案安排”的明确证据，却不构成全员实习率，也没有披露取得何种职业资格证书、评价工具或毕业考核通过率。2024年推进会说明见习方案和管理办法已经形成，但具体评分量规、职业评估工具、家长同意流程、岗位安全审查仍待校方内部资料披露[</w:t>
      </w:r>
      <w:r>
        <w:rPr/>
        <w:t xml:space="preserve">4</w:t>
      </w:r>
      <w:r>
        <w:rPr/>
        <w:t xml:space="preserve">]。</w:t>
      </w:r>
    </w:p>
    <w:p>
      <w:pPr>
        <w:spacing w:after="200"/>
      </w:pPr>
      <w:r>
        <w:t xml:space="preserve"> </w:t>
      </w:r>
    </w:p>
    <w:p>
      <w:r>
        <w:rPr/>
        <w:t xml:space="preserve">**</w:t>
      </w:r>
      <w:r>
        <w:rPr/>
        <w:t xml:space="preserve">就业结果的公开缺口本身就是研究结论。**</w:t>
      </w:r>
      <w:r>
        <w:rPr/>
        <w:t xml:space="preserve">2023年奉贤区政府报道明确称“据不完全统计，特教班有过社会岗位实践经历的孩子大概在30%左右，从真正就业来说，比例更低”[</w:t>
      </w:r>
      <w:r>
        <w:rPr/>
        <w:t xml:space="preserve">2]。30%的分母可合理理解为当时特教班学生，但它仍是概数、并非精确的年度就业率；文中也没有给出就业定义（全职/兼职、竞赛性/庇护性、薪酬、持续时间）。因此，任何把奉贤中专描述为“就业率30%”或把普通奉贤中专99%以上就业率移植到特教班的说法都不成立。可证实的是：一部分学生参与社会岗位实践，学校以“认知—跟岗—顶岗”推进，校内“心源小舍”自2021年服务2021级、2022级共11名学生；不可证实的是毕业后的稳定就业率、岗位匹配率和一年保留率[</w:t>
      </w:r>
      <w:r>
        <w:rPr/>
        <w:t xml:space="preserve">1][</w:t>
      </w:r>
      <w:r>
        <w:rPr/>
        <w:t xml:space="preserve">2</w:t>
      </w:r>
      <w:r>
        <w:rPr/>
        <w:t xml:space="preserve">]。</w:t>
      </w:r>
    </w:p>
    <w:p>
      <w:pPr>
        <w:spacing w:after="200"/>
      </w:pPr>
      <w:r>
        <w:t xml:space="preserve"> </w:t>
      </w:r>
    </w:p>
    <w:p>
      <w:pPr>
        <w:pStyle w:val="Heading2"/>
        <w:spacing w:before="0" w:after="200"/>
      </w:pPr>
      <w:r>
        <w:rPr>
          <w:b/>
          <w:sz w:val="36"/>
        </w:rPr>
        <w:t xml:space="preserve">四、吉隆坡大都市区的制度地图：联邦规则与跨州服务不能混为一谈</w:t>
      </w:r>
    </w:p>
    <w:p>
      <w:r>
        <w:rPr/>
        <w:t xml:space="preserve">**</w:t>
      </w:r>
      <w:r>
        <w:rPr/>
        <w:t xml:space="preserve">马来西亚提供的是多入口资格体系，而不是一条自动通向就业的残障专设轨道。**</w:t>
      </w:r>
      <w:r>
        <w:rPr/>
        <w:t xml:space="preserve">联邦层面，教育部KPM通过Kolej Vokasional（职业学院）承担正规TVET；PPKI（Program Pendidikan Khas Integrasi，特殊需要教育融合计划）主要覆盖基础教育中的支持服务，不能据此断言所有PPKI学生自然升学到TVET或SMPKV。JPK（Department of Skills Development）通过NOSS、SLDN双轨训练、技能评估与SKM提供技能资格；KPWKM/JKM体系下的PLPP、Bengkel</w:t>
      </w:r>
      <w:r>
        <w:rPr/>
        <w:t xml:space="preserve"> Daya等则更偏向社会福利、职业训练、庇护工场和长期支持。企业就业还可能经过PSH/NGO、残障登记、职业康复或个别雇主项目。因此，不能把PPKI、TVET、SKM、实习/PTK、开放就业和庇护就业画成所有学生都适用的单一线性路径。</w:t>
      </w:r>
    </w:p>
    <w:p>
      <w:pPr>
        <w:spacing w:after="200"/>
      </w:pPr>
      <w:r>
        <w:t xml:space="preserve"> </w:t>
      </w:r>
    </w:p>
    <w:p>
      <w:r>
        <w:rPr/>
        <w:t xml:space="preserve">**</w:t>
      </w:r>
      <w:r>
        <w:rPr/>
        <w:t xml:space="preserve">SKM的价值在行业可比性，但残障学生的可及性取决于准入、评估与合理便利。**</w:t>
      </w:r>
      <w:r>
        <w:rPr/>
        <w:t xml:space="preserve">SKM通常分为一至三级等技能资格，依据国家职业标准（NOSS）和JPK认可机构进行评鉴。对障碍学生而言，报名资格、课程语言、实操工作站、评鉴方式、辅助工具和评卷调整是能否取得资格的关键。截至本研究截止日，没有找到SMPKV Shah Alam公开确认其所有残障学生均取得SKM、SVM或任何微证书的一手清单。因此，本文只把SKM视为马来西亚技能部门的可选资格出口，不把它写成Shah</w:t>
      </w:r>
      <w:r>
        <w:rPr/>
        <w:t xml:space="preserve"> Alam机构的既定毕业证书。</w:t>
      </w:r>
    </w:p>
    <w:p>
      <w:pPr>
        <w:spacing w:after="200"/>
      </w:pPr>
      <w:r>
        <w:t xml:space="preserve"> </w:t>
      </w:r>
    </w:p>
    <w:p>
      <w:r>
        <w:rPr/>
        <w:t xml:space="preserve">**</w:t>
      </w:r>
      <w:r>
        <w:rPr/>
        <w:t xml:space="preserve">吉隆坡“市内”与“大吉隆坡/雪兰莪邻近”的边界决定可比性。**</w:t>
      </w:r>
      <w:r>
        <w:rPr/>
        <w:t xml:space="preserve">SMPKV Shah Alam位于雪兰莪州首府莎阿南，属于雪兰莪州，而非吉隆坡联邦直辖区；Bengkel Daya Klang同样位于雪兰莪州的巴生，不能因为从吉隆坡通勤可达就归入吉隆坡。SAMH Wisma Harapan位于吉隆坡Brickfields，最符合“吉隆坡市内”的空间范围。PLPP/Pusat Latihan Perindustrian dan</w:t>
      </w:r>
      <w:r>
        <w:rPr/>
        <w:t xml:space="preserve"> Pemulihan（职业训练与康复中心）是KPWKM/JKM框架下的机构类别，并非单一固定地址；要讨论某一PLPP时，应给出所在州、中心和年份。本文因此采用“吉隆坡大都市区”这一功能区域概念，而不把它们都说成“吉隆坡联邦直辖区的学校”。</w:t>
      </w:r>
    </w:p>
    <w:p>
      <w:pPr>
        <w:spacing w:after="200"/>
      </w:pPr>
      <w:r>
        <w:t xml:space="preserve"> </w:t>
      </w:r>
    </w:p>
    <w:p>
      <w:pPr>
        <w:pStyle w:val="Figure"/>
      </w:pPr>
      <w:r>
        <w:t/>
        <w:drawing>
          <wp:inline distT="0" distB="0" distL="0" distR="0">
            <wp:extent cx="4752000" cy="2842586"/>
            <wp:docPr id="2" name="图片 2" descr="吉隆坡大都市区机构的课程、证书与就业结果公开证据明显少于上海" title="图片"/>
            <a:graphic xmlns:a="http://schemas.openxmlformats.org/drawingml/2006/main">
              <a:graphicData uri="http://schemas.openxmlformats.org/drawingml/2006/picture">
                <pic:pic xmlns:pic="http://schemas.openxmlformats.org/drawingml/2006/picture">
                  <pic:nvPicPr>
                    <pic:cNvPr id="2" name="图片 2" descr="吉隆坡大都市区机构的课程、证书与就业结果公开证据明显少于上海" title="图片"/>
                    <pic:cNvPicPr>
                      <a:picLocks noChangeAspect="1"/>
                    </pic:cNvPicPr>
                  </pic:nvPicPr>
                  <pic:blipFill>
                    <a:blip r:embed="rId3"/>
                    <a:stretch>
                      <a:fillRect/>
                    </a:stretch>
                  </pic:blipFill>
                  <pic:spPr>
                    <a:xfrm>
                      <a:off x="0" y="0"/>
                      <a:ext cx="4752000" cy="2842586"/>
                    </a:xfrm>
                    <a:prstGeom prst="rect">
                      <a:avLst/>
                    </a:prstGeom>
                  </pic:spPr>
                </pic:pic>
              </a:graphicData>
            </a:graphic>
          </wp:inline>
        </w:drawing>
      </w:r>
    </w:p>
    <w:p>
      <w:pPr>
        <w:spacing w:after="200"/>
      </w:pPr>
      <w:r>
        <w:t xml:space="preserve"> </w:t>
      </w:r>
    </w:p>
    <w:p>
      <w:r>
        <w:rPr>
          <w:i/>
        </w:rPr>
        <w:t xml:space="preserve">图2：指定机构公开资料的明确证据编码。“已核验”表示本次可访问资料明确提到该属性；“公开资料不足”不等于服务不存在。数据来源：政府、机构及公开资料核验，详见表1与参考文献[</w:t>
      </w:r>
      <w:r>
        <w:rPr>
          <w:i/>
        </w:rPr>
        <w:t xml:space="preserve">3][</w:t>
      </w:r>
      <w:r>
        <w:rPr>
          <w:i/>
        </w:rPr>
        <w:t xml:space="preserve">8][</w:t>
      </w:r>
      <w:r>
        <w:rPr>
          <w:i/>
        </w:rPr>
        <w:t xml:space="preserve">9]。</w:t>
      </w:r>
    </w:p>
    <w:p>
      <w:pPr>
        <w:spacing w:after="200"/>
      </w:pPr>
      <w:r>
        <w:t xml:space="preserve"> </w:t>
      </w:r>
    </w:p>
    <w:p>
      <w:pPr>
        <w:pStyle w:val="Heading2"/>
        <w:spacing w:before="0" w:after="200"/>
      </w:pPr>
      <w:r>
        <w:rPr>
          <w:b/>
          <w:sz w:val="36"/>
        </w:rPr>
        <w:t xml:space="preserve">五、四类指定机构比较：可核验信息、服务性质与不可下结论之处</w:t>
      </w:r>
    </w:p>
    <w:p>
      <w:r>
        <w:rPr/>
        <w:t xml:space="preserve">**</w:t>
      </w:r>
      <w:r>
        <w:rPr/>
        <w:t xml:space="preserve">SMPKV Shah Alam是正规TVET供给的近地案例，但残障支持链条仍待机构级公开。**</w:t>
      </w:r>
      <w:r>
        <w:rPr/>
        <w:t xml:space="preserve">SMPKV（Sekolah Menengah Pendidikan Khas Vokasional）作为KPM职业中学体系，理论上比短期NGO项目更接近正规中等职业教育；Shah Alam位于雪兰莪，与Klang、Kuala Lumpur共同构成大都市区通勤圈。可核验的是其教育行政属性和邻近性，而非具体残障班、年龄、障碍类别、每日课程、SKM科目、企业实习名单或毕业去向。本文不采用未访问的学校招生页面来推定其设有障碍者班，也不假定SMPKV Shah</w:t>
      </w:r>
      <w:r>
        <w:rPr/>
        <w:t xml:space="preserve"> Alam必然提供SAMH式成人服务。</w:t>
      </w:r>
    </w:p>
    <w:p>
      <w:pPr>
        <w:spacing w:after="200"/>
      </w:pPr>
      <w:r>
        <w:t xml:space="preserve"> </w:t>
      </w:r>
    </w:p>
    <w:p>
      <w:r>
        <w:rPr/>
        <w:t xml:space="preserve">**</w:t>
      </w:r>
      <w:r>
        <w:rPr/>
        <w:t xml:space="preserve">SAMH Wisma Harapan是吉隆坡市内可定位的成人支持机构，但当前网页未能解析，服务细节不得扩张。**</w:t>
      </w:r>
      <w:r>
        <w:rPr/>
        <w:t xml:space="preserve">公开名录可交叉印证该机构位于Brickfields、面向智障儿童/成人并提供工作坊或职业性服务；然而用户提供的SAMH链接在本研究中未能解析，网站访问状态、课程更新日期和就业数据均未获得。故只可将其视为“吉隆坡市内、以智障人士为重点的社会福利/职业支持机构候选案例”，不可核验其是否颁发SKM、是否有固定实习薪酬、是否追踪毕业后就业。后续若要建立可引用证据，应取得机构年报、家长同意后的匿名个案汇总或JKM登记资料。</w:t>
      </w:r>
    </w:p>
    <w:p>
      <w:pPr>
        <w:spacing w:after="200"/>
      </w:pPr>
      <w:r>
        <w:t xml:space="preserve"> </w:t>
      </w:r>
    </w:p>
    <w:p>
      <w:r>
        <w:rPr>
          <w:b/>
        </w:rPr>
        <w:t xml:space="preserve">Bengkel Daya Klang体现的是福利部体系下的生产性与训练性庇护服务，而非可自动等同于开放就业。</w:t>
      </w:r>
      <w:r>
        <w:rPr/>
        <w:t xml:space="preserve">“Bengkel Daya”属JKM/KPWKM庇护工场/活动中心网络的一部分，位于雪兰莪Klang，通常承担日间活动、职业训练、简单生产和社福支持。其政策功能是可及的、低门槛的日间服务，尤其适合教育或开放劳动市场尚未准备好的青年；但公开资料不足，无法判断其服务对象年龄、障碍类别、日工作时长、报酬、SKM、外部实习、就业过渡和一年保留情况。学术证据显示，竞争性就业比例在各国智力障碍青年中仍偏低，从9%至40%不等[</w:t>
      </w:r>
      <w:r>
        <w:rPr/>
        <w:t xml:space="preserve">10</w:t>
      </w:r>
      <w:r>
        <w:rPr/>
        <w:t xml:space="preserve">]，这更要求把“参加工场”与“获得竞争性工作”严格区分。</w:t>
      </w:r>
    </w:p>
    <w:p>
      <w:pPr>
        <w:spacing w:after="200"/>
      </w:pPr>
      <w:r>
        <w:t xml:space="preserve"> </w:t>
      </w:r>
    </w:p>
    <w:p>
      <w:r>
        <w:rPr/>
        <w:t xml:space="preserve">**</w:t>
      </w:r>
      <w:r>
        <w:rPr/>
        <w:t xml:space="preserve">PLPP可作为职业训练与康复接口，但“PLPP”不是就业结果的同义词。**</w:t>
      </w:r>
      <w:r>
        <w:rPr/>
        <w:t xml:space="preserve">KPWKM/JKM的PLPP体系覆盖职业训练、康复和长期支持，可能承接不同障碍类型；然而不同中心在地区、年龄、性别、障碍类别和岗位网络上差异显著。未获中心级公开报告时，不能把PLPP整体写成“就业安置机构”，也不能给某中心补写就业率。其合理定位是：教育与社福之间的过渡性支持层，可在获得个体评估、合理便利和真实岗位机会后，与开放就业或支持性就业连接。</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1353"/>
        <w:gridCol w:w="1511"/>
        <w:gridCol w:w="1353"/>
        <w:gridCol w:w="2098"/>
        <w:gridCol w:w="1353"/>
      </w:tblGrid>
      <w:tr>
        <w:trPr>
          <w:tblHeader w:val="1"/>
        </w:trPr>
        <w:tc>
          <w:tcPr>
            <w:tcW w:w="1353" w:type="dxa"/>
            <w:vAlign w:val="center"/>
          </w:tcPr>
          <w:p>
            <w:pPr>
              <w:jc w:val="left"/>
            </w:pPr>
            <w:r>
              <w:rPr>
                <w:b/>
                <w:sz w:val="24"/>
              </w:rPr>
              <w:t xml:space="preserve">机构</w:t>
            </w:r>
          </w:p>
        </w:tc>
        <w:tc>
          <w:tcPr>
            <w:tcW w:w="1353" w:type="dxa"/>
            <w:vAlign w:val="center"/>
          </w:tcPr>
          <w:p>
            <w:pPr>
              <w:jc w:val="left"/>
            </w:pPr>
            <w:r>
              <w:rPr>
                <w:b/>
                <w:sz w:val="24"/>
              </w:rPr>
              <w:t xml:space="preserve">行政归属与空间层级</w:t>
            </w:r>
          </w:p>
        </w:tc>
        <w:tc>
          <w:tcPr>
            <w:tcW w:w="1511" w:type="dxa"/>
            <w:vAlign w:val="center"/>
          </w:tcPr>
          <w:p>
            <w:pPr>
              <w:jc w:val="left"/>
            </w:pPr>
            <w:r>
              <w:rPr>
                <w:b/>
                <w:sz w:val="24"/>
              </w:rPr>
              <w:t xml:space="preserve">已核验的对象/定位</w:t>
            </w:r>
          </w:p>
        </w:tc>
        <w:tc>
          <w:tcPr>
            <w:tcW w:w="1353" w:type="dxa"/>
            <w:vAlign w:val="center"/>
          </w:tcPr>
          <w:p>
            <w:pPr>
              <w:jc w:val="left"/>
            </w:pPr>
            <w:r>
              <w:rPr>
                <w:b/>
                <w:sz w:val="24"/>
              </w:rPr>
              <w:t xml:space="preserve">课程与证书公开证据</w:t>
            </w:r>
          </w:p>
        </w:tc>
        <w:tc>
          <w:tcPr>
            <w:tcW w:w="2098" w:type="dxa"/>
            <w:vAlign w:val="center"/>
          </w:tcPr>
          <w:p>
            <w:pPr>
              <w:jc w:val="left"/>
            </w:pPr>
            <w:r>
              <w:rPr>
                <w:b/>
                <w:sz w:val="24"/>
              </w:rPr>
              <w:t xml:space="preserve">实习、就业与长期支持证据</w:t>
            </w:r>
          </w:p>
        </w:tc>
        <w:tc>
          <w:tcPr>
            <w:tcW w:w="1353" w:type="dxa"/>
            <w:vAlign w:val="center"/>
          </w:tcPr>
          <w:p>
            <w:pPr>
              <w:jc w:val="left"/>
            </w:pPr>
            <w:r>
              <w:rPr>
                <w:b/>
                <w:sz w:val="24"/>
              </w:rPr>
              <w:t xml:space="preserve">结论边界</w:t>
            </w:r>
          </w:p>
        </w:tc>
      </w:tr>
      <w:tr>
        <w:tc>
          <w:tcPr>
            <w:tcW w:w="1353" w:type="dxa"/>
            <w:vAlign w:val="center"/>
          </w:tcPr>
          <w:p>
            <w:pPr>
              <w:jc w:val="left"/>
            </w:pPr>
            <w:r>
              <w:rPr>
                <w:sz w:val="24"/>
              </w:rPr>
              <w:t xml:space="preserve">奉贤中专特教班</w:t>
            </w:r>
          </w:p>
        </w:tc>
        <w:tc>
          <w:tcPr>
            <w:tcW w:w="1353" w:type="dxa"/>
            <w:vAlign w:val="center"/>
          </w:tcPr>
          <w:p>
            <w:pPr>
              <w:jc w:val="left"/>
            </w:pPr>
            <w:r>
              <w:rPr>
                <w:sz w:val="24"/>
              </w:rPr>
              <w:t xml:space="preserve">中国上海奉贤区；区级</w:t>
            </w:r>
          </w:p>
        </w:tc>
        <w:tc>
          <w:tcPr>
            <w:tcW w:w="1511" w:type="dxa"/>
            <w:vAlign w:val="center"/>
          </w:tcPr>
          <w:p>
            <w:pPr>
              <w:jc w:val="left"/>
            </w:pPr>
            <w:r>
              <w:rPr>
                <w:sz w:val="24"/>
              </w:rPr>
              <w:t xml:space="preserve">特教中职班；四年制中餐烹饪与营养膳食；曾报道53人及60余人[</w:t>
            </w:r>
            <w:r>
              <w:rPr>
                <w:sz w:val="24"/>
              </w:rPr>
              <w:t xml:space="preserve">2][</w:t>
            </w:r>
            <w:r>
              <w:rPr>
                <w:sz w:val="24"/>
              </w:rPr>
              <w:t xml:space="preserve">3</w:t>
            </w:r>
            <w:r>
              <w:rPr>
                <w:sz w:val="24"/>
              </w:rPr>
              <w:t xml:space="preserve">]</w:t>
            </w:r>
          </w:p>
        </w:tc>
        <w:tc>
          <w:tcPr>
            <w:tcW w:w="1353" w:type="dxa"/>
            <w:vAlign w:val="center"/>
          </w:tcPr>
          <w:p>
            <w:pPr>
              <w:jc w:val="left"/>
            </w:pPr>
            <w:r>
              <w:rPr>
                <w:sz w:val="24"/>
              </w:rPr>
              <w:t xml:space="preserve">公共基础、烹饪、面点、咖啡等；未公开全校证书取证率</w:t>
            </w:r>
          </w:p>
        </w:tc>
        <w:tc>
          <w:tcPr>
            <w:tcW w:w="2098" w:type="dxa"/>
            <w:vAlign w:val="center"/>
          </w:tcPr>
          <w:p>
            <w:pPr>
              <w:jc w:val="left"/>
            </w:pPr>
            <w:r>
              <w:rPr>
                <w:sz w:val="24"/>
              </w:rPr>
              <w:t xml:space="preserve">认知—跟岗—顶岗；约30%社会岗位实践概数；11人签署见习协议；未公开就业率[</w:t>
            </w:r>
            <w:r>
              <w:rPr>
                <w:sz w:val="24"/>
              </w:rPr>
              <w:t xml:space="preserve">1][</w:t>
            </w:r>
            <w:r>
              <w:rPr>
                <w:sz w:val="24"/>
              </w:rPr>
              <w:t xml:space="preserve">2][</w:t>
            </w:r>
            <w:r>
              <w:rPr>
                <w:sz w:val="24"/>
              </w:rPr>
              <w:t xml:space="preserve">3][</w:t>
            </w:r>
            <w:r>
              <w:rPr>
                <w:sz w:val="24"/>
              </w:rPr>
              <w:t xml:space="preserve">4</w:t>
            </w:r>
            <w:r>
              <w:rPr>
                <w:sz w:val="24"/>
              </w:rPr>
              <w:t xml:space="preserve">]</w:t>
            </w:r>
          </w:p>
        </w:tc>
        <w:tc>
          <w:tcPr>
            <w:tcW w:w="1353" w:type="dxa"/>
            <w:vAlign w:val="center"/>
          </w:tcPr>
          <w:p>
            <w:pPr>
              <w:jc w:val="left"/>
            </w:pPr>
            <w:r>
              <w:rPr>
                <w:sz w:val="24"/>
              </w:rPr>
              <w:t xml:space="preserve">制度衔接较完整，结果数据仍不足</w:t>
            </w:r>
          </w:p>
        </w:tc>
      </w:tr>
      <w:tr>
        <w:tc>
          <w:tcPr>
            <w:tcW w:w="1353" w:type="dxa"/>
            <w:vAlign w:val="center"/>
          </w:tcPr>
          <w:p>
            <w:pPr>
              <w:jc w:val="left"/>
            </w:pPr>
            <w:r>
              <w:rPr>
                <w:sz w:val="24"/>
              </w:rPr>
              <w:t xml:space="preserve">SMPKV Shah</w:t>
            </w:r>
            <w:r>
              <w:rPr>
                <w:sz w:val="24"/>
              </w:rPr>
              <w:t xml:space="preserve"> Alam</w:t>
            </w:r>
          </w:p>
        </w:tc>
        <w:tc>
          <w:tcPr>
            <w:tcW w:w="1353" w:type="dxa"/>
            <w:vAlign w:val="center"/>
          </w:tcPr>
          <w:p>
            <w:pPr>
              <w:jc w:val="left"/>
            </w:pPr>
            <w:r>
              <w:rPr>
                <w:sz w:val="24"/>
              </w:rPr>
              <w:t xml:space="preserve">雪兰莪州Shah</w:t>
            </w:r>
            <w:r>
              <w:rPr>
                <w:sz w:val="24"/>
              </w:rPr>
              <w:t xml:space="preserve"> Alam；大都市区邻近</w:t>
            </w:r>
          </w:p>
        </w:tc>
        <w:tc>
          <w:tcPr>
            <w:tcW w:w="1511" w:type="dxa"/>
            <w:vAlign w:val="center"/>
          </w:tcPr>
          <w:p>
            <w:pPr>
              <w:jc w:val="left"/>
            </w:pPr>
            <w:r>
              <w:rPr>
                <w:sz w:val="24"/>
              </w:rPr>
              <w:t xml:space="preserve">KPM职业教育中学体系</w:t>
            </w:r>
          </w:p>
        </w:tc>
        <w:tc>
          <w:tcPr>
            <w:tcW w:w="1353" w:type="dxa"/>
            <w:vAlign w:val="center"/>
          </w:tcPr>
          <w:p>
            <w:pPr>
              <w:jc w:val="left"/>
            </w:pPr>
            <w:r>
              <w:rPr>
                <w:sz w:val="24"/>
              </w:rPr>
              <w:t xml:space="preserve">无本研究所核验的障碍班课程/证书明细</w:t>
            </w:r>
          </w:p>
        </w:tc>
        <w:tc>
          <w:tcPr>
            <w:tcW w:w="2098" w:type="dxa"/>
            <w:vAlign w:val="center"/>
          </w:tcPr>
          <w:p>
            <w:pPr>
              <w:jc w:val="left"/>
            </w:pPr>
            <w:r>
              <w:rPr>
                <w:sz w:val="24"/>
              </w:rPr>
              <w:t xml:space="preserve">无公开可核验实习与就业去向</w:t>
            </w:r>
          </w:p>
        </w:tc>
        <w:tc>
          <w:tcPr>
            <w:tcW w:w="1353" w:type="dxa"/>
            <w:vAlign w:val="center"/>
          </w:tcPr>
          <w:p>
            <w:pPr>
              <w:jc w:val="left"/>
            </w:pPr>
            <w:r>
              <w:rPr>
                <w:sz w:val="24"/>
              </w:rPr>
              <w:t xml:space="preserve">不等于“吉隆坡市内”，不等同残障TVET项目</w:t>
            </w:r>
          </w:p>
        </w:tc>
      </w:tr>
      <w:tr>
        <w:tc>
          <w:tcPr>
            <w:tcW w:w="1353" w:type="dxa"/>
            <w:vAlign w:val="center"/>
          </w:tcPr>
          <w:p>
            <w:pPr>
              <w:jc w:val="left"/>
            </w:pPr>
            <w:r>
              <w:rPr>
                <w:sz w:val="24"/>
              </w:rPr>
              <w:t xml:space="preserve">SAMH Wisma</w:t>
            </w:r>
            <w:r>
              <w:rPr>
                <w:sz w:val="24"/>
              </w:rPr>
              <w:t xml:space="preserve"> Harapan</w:t>
            </w:r>
          </w:p>
        </w:tc>
        <w:tc>
          <w:tcPr>
            <w:tcW w:w="1353" w:type="dxa"/>
            <w:vAlign w:val="center"/>
          </w:tcPr>
          <w:p>
            <w:pPr>
              <w:jc w:val="left"/>
            </w:pPr>
            <w:r>
              <w:rPr>
                <w:sz w:val="24"/>
              </w:rPr>
              <w:t xml:space="preserve">吉隆坡联邦直辖区Brickfields；市内</w:t>
            </w:r>
          </w:p>
        </w:tc>
        <w:tc>
          <w:tcPr>
            <w:tcW w:w="1511" w:type="dxa"/>
            <w:vAlign w:val="center"/>
          </w:tcPr>
          <w:p>
            <w:pPr>
              <w:jc w:val="left"/>
            </w:pPr>
            <w:r>
              <w:rPr>
                <w:sz w:val="24"/>
              </w:rPr>
              <w:t xml:space="preserve">智障儿童/成人社会支持与职业性服务的可核验候选</w:t>
            </w:r>
          </w:p>
        </w:tc>
        <w:tc>
          <w:tcPr>
            <w:tcW w:w="1353" w:type="dxa"/>
            <w:vAlign w:val="center"/>
          </w:tcPr>
          <w:p>
            <w:pPr>
              <w:jc w:val="left"/>
            </w:pPr>
            <w:r>
              <w:rPr>
                <w:sz w:val="24"/>
              </w:rPr>
              <w:t xml:space="preserve">原链接未解析；不推定SKM</w:t>
            </w:r>
          </w:p>
        </w:tc>
        <w:tc>
          <w:tcPr>
            <w:tcW w:w="2098" w:type="dxa"/>
            <w:vAlign w:val="center"/>
          </w:tcPr>
          <w:p>
            <w:pPr>
              <w:jc w:val="left"/>
            </w:pPr>
            <w:r>
              <w:rPr>
                <w:sz w:val="24"/>
              </w:rPr>
              <w:t xml:space="preserve">无公开就业数据</w:t>
            </w:r>
          </w:p>
        </w:tc>
        <w:tc>
          <w:tcPr>
            <w:tcW w:w="1353" w:type="dxa"/>
            <w:vAlign w:val="center"/>
          </w:tcPr>
          <w:p>
            <w:pPr>
              <w:jc w:val="left"/>
            </w:pPr>
            <w:r>
              <w:rPr>
                <w:sz w:val="24"/>
              </w:rPr>
              <w:t xml:space="preserve">仅作地理位置和服务定位线索</w:t>
            </w:r>
          </w:p>
        </w:tc>
      </w:tr>
      <w:tr>
        <w:tc>
          <w:tcPr>
            <w:tcW w:w="1353" w:type="dxa"/>
            <w:vAlign w:val="center"/>
          </w:tcPr>
          <w:p>
            <w:pPr>
              <w:jc w:val="left"/>
            </w:pPr>
            <w:r>
              <w:rPr>
                <w:sz w:val="24"/>
              </w:rPr>
              <w:t xml:space="preserve">Bengkel Daya</w:t>
            </w:r>
            <w:r>
              <w:rPr>
                <w:sz w:val="24"/>
              </w:rPr>
              <w:t xml:space="preserve"> Klang</w:t>
            </w:r>
          </w:p>
        </w:tc>
        <w:tc>
          <w:tcPr>
            <w:tcW w:w="1353" w:type="dxa"/>
            <w:vAlign w:val="center"/>
          </w:tcPr>
          <w:p>
            <w:pPr>
              <w:jc w:val="left"/>
            </w:pPr>
            <w:r>
              <w:rPr>
                <w:sz w:val="24"/>
              </w:rPr>
              <w:t xml:space="preserve">雪兰莪州Klang；大都市区邻近</w:t>
            </w:r>
          </w:p>
        </w:tc>
        <w:tc>
          <w:tcPr>
            <w:tcW w:w="1511" w:type="dxa"/>
            <w:vAlign w:val="center"/>
          </w:tcPr>
          <w:p>
            <w:pPr>
              <w:jc w:val="left"/>
            </w:pPr>
            <w:r>
              <w:rPr>
                <w:sz w:val="24"/>
              </w:rPr>
              <w:t xml:space="preserve">JKM/KPWKM体系下的工场/日间支持候选</w:t>
            </w:r>
          </w:p>
        </w:tc>
        <w:tc>
          <w:tcPr>
            <w:tcW w:w="1353" w:type="dxa"/>
            <w:vAlign w:val="center"/>
          </w:tcPr>
          <w:p>
            <w:pPr>
              <w:jc w:val="left"/>
            </w:pPr>
            <w:r>
              <w:rPr>
                <w:sz w:val="24"/>
              </w:rPr>
              <w:t xml:space="preserve">无公开课程与SKM明细</w:t>
            </w:r>
          </w:p>
        </w:tc>
        <w:tc>
          <w:tcPr>
            <w:tcW w:w="2098" w:type="dxa"/>
            <w:vAlign w:val="center"/>
          </w:tcPr>
          <w:p>
            <w:pPr>
              <w:jc w:val="left"/>
            </w:pPr>
            <w:r>
              <w:rPr>
                <w:sz w:val="24"/>
              </w:rPr>
              <w:t xml:space="preserve">无公开实习、就业率或保留率</w:t>
            </w:r>
          </w:p>
        </w:tc>
        <w:tc>
          <w:tcPr>
            <w:tcW w:w="1353" w:type="dxa"/>
            <w:vAlign w:val="center"/>
          </w:tcPr>
          <w:p>
            <w:pPr>
              <w:jc w:val="left"/>
            </w:pPr>
            <w:r>
              <w:rPr>
                <w:sz w:val="24"/>
              </w:rPr>
              <w:t xml:space="preserve">不能把庇护生产等同开放就业</w:t>
            </w:r>
          </w:p>
        </w:tc>
      </w:tr>
      <w:tr>
        <w:tc>
          <w:tcPr>
            <w:tcW w:w="1353" w:type="dxa"/>
            <w:vAlign w:val="center"/>
          </w:tcPr>
          <w:p>
            <w:pPr>
              <w:jc w:val="left"/>
            </w:pPr>
            <w:r>
              <w:rPr>
                <w:sz w:val="24"/>
              </w:rPr>
              <w:t xml:space="preserve">PLPP（指定中心待核）</w:t>
            </w:r>
          </w:p>
        </w:tc>
        <w:tc>
          <w:tcPr>
            <w:tcW w:w="1353" w:type="dxa"/>
            <w:vAlign w:val="center"/>
          </w:tcPr>
          <w:p>
            <w:pPr>
              <w:jc w:val="left"/>
            </w:pPr>
            <w:r>
              <w:rPr>
                <w:sz w:val="24"/>
              </w:rPr>
              <w:t xml:space="preserve">依中心而定，跨州/联邦直辖区</w:t>
            </w:r>
          </w:p>
        </w:tc>
        <w:tc>
          <w:tcPr>
            <w:tcW w:w="1511" w:type="dxa"/>
            <w:vAlign w:val="center"/>
          </w:tcPr>
          <w:p>
            <w:pPr>
              <w:jc w:val="left"/>
            </w:pPr>
            <w:r>
              <w:rPr>
                <w:sz w:val="24"/>
              </w:rPr>
              <w:t xml:space="preserve">KPWKM/JKM职业训练与康复框架</w:t>
            </w:r>
          </w:p>
        </w:tc>
        <w:tc>
          <w:tcPr>
            <w:tcW w:w="1353" w:type="dxa"/>
            <w:vAlign w:val="center"/>
          </w:tcPr>
          <w:p>
            <w:pPr>
              <w:jc w:val="left"/>
            </w:pPr>
            <w:r>
              <w:rPr>
                <w:sz w:val="24"/>
              </w:rPr>
              <w:t xml:space="preserve">框架存在，中心级课程待核</w:t>
            </w:r>
          </w:p>
        </w:tc>
        <w:tc>
          <w:tcPr>
            <w:tcW w:w="2098" w:type="dxa"/>
            <w:vAlign w:val="center"/>
          </w:tcPr>
          <w:p>
            <w:pPr>
              <w:jc w:val="left"/>
            </w:pPr>
            <w:r>
              <w:rPr>
                <w:sz w:val="24"/>
              </w:rPr>
              <w:t xml:space="preserve">框架存在，就业追踪数据待核</w:t>
            </w:r>
          </w:p>
        </w:tc>
        <w:tc>
          <w:tcPr>
            <w:tcW w:w="1353" w:type="dxa"/>
            <w:vAlign w:val="center"/>
          </w:tcPr>
          <w:p>
            <w:pPr>
              <w:jc w:val="left"/>
            </w:pPr>
            <w:r>
              <w:rPr>
                <w:sz w:val="24"/>
              </w:rPr>
              <w:t xml:space="preserve">“PLPP”不能作为就业率替代词</w:t>
            </w:r>
          </w:p>
        </w:tc>
      </w:tr>
    </w:tbl>
    <w:p>
      <w:pPr>
        <w:spacing w:before="240"/>
      </w:pPr>
      <w:r>
        <w:t xml:space="preserve"> </w:t>
      </w:r>
    </w:p>
    <w:p>
      <w:pPr>
        <w:pStyle w:val="Heading2"/>
        <w:spacing w:before="0" w:after="200"/>
      </w:pPr>
      <w:r>
        <w:rPr>
          <w:b/>
          <w:sz w:val="36"/>
        </w:rPr>
        <w:t xml:space="preserve">六、从PPKI到开放或庇护就业：链条应如何设计，而不是如何被误读</w:t>
      </w:r>
    </w:p>
    <w:p>
      <w:r>
        <w:rPr/>
        <w:t xml:space="preserve">**</w:t>
      </w:r>
      <w:r>
        <w:rPr/>
        <w:t xml:space="preserve">可操作链条应是“评估—准备—认证—真实工作—持续支持”，而非行政标签串联。**</w:t>
      </w:r>
      <w:r>
        <w:rPr/>
        <w:t xml:space="preserve">较合理的路径是：基础教育阶段PPKI完成职业兴趣、沟通能力、生活自理和社区移动性评估；达到中等后阶段后，学生按能力和意愿分流至Kolej Vokasional/TVET、SLDN企业双轨训练、NGO短期课程或PLPP/Bengkel</w:t>
      </w:r>
      <w:r>
        <w:rPr/>
        <w:t xml:space="preserve"> Daya；在能力本位课程中，学生可争取与岗位匹配的SKM单元、微证书或内部能力证明；随后以有支持的实习、工作体验或模拟工位检验真实生产力；毕业后进入竞争性开放就业、支持性就业或经明确选择的庇护工场。这里的“或”很重要：庇护工场可成为技能建立、社交康复或无法进入开放市场者的合法选择，但不能成为所有残障青年的默认终点。</w:t>
      </w:r>
    </w:p>
    <w:p>
      <w:pPr>
        <w:spacing w:after="200"/>
      </w:pPr>
      <w:r>
        <w:t xml:space="preserve"> </w:t>
      </w:r>
    </w:p>
    <w:p>
      <w:r>
        <w:rPr/>
        <w:t xml:space="preserve">**</w:t>
      </w:r>
      <w:r>
        <w:rPr/>
        <w:t xml:space="preserve">支持性就业与开放就业都要求退出“训练即安置”的逻辑。**</w:t>
      </w:r>
      <w:r>
        <w:rPr/>
        <w:t xml:space="preserve">支持性就业是在竞争性、融合的工作场所中，根据个人需要持续提供岗位匹配、就业教练、自然支持者、督导沟通和逐步退场；其目标是真实工资和真实同事环境，而非永久停留在机构工场。开放就业更宽泛，包括无时间限制、无工资补贴障碍的普通工作；但“开放”并不自动意味着“无支持”。对需要持续沟通的智力障碍青年，Job</w:t>
      </w:r>
      <w:r>
        <w:rPr/>
        <w:t xml:space="preserve"> Coach的工作不是替代员工完成任务，而是在不制造依赖的前提下帮助任务分析、环境调整、同事关系与雇主协商。马来西亚在多元雇主、清真食品、零售、酒店、物流、清洁和行政支持等领域存在潜在岗位，但公开资料没有提供这些领域对残障毕业生的配额执行、合理便利申请或岗位保留率统计。</w:t>
      </w:r>
    </w:p>
    <w:p>
      <w:pPr>
        <w:spacing w:after="200"/>
      </w:pPr>
      <w:r>
        <w:t xml:space="preserve"> </w:t>
      </w:r>
    </w:p>
    <w:p>
      <w:r>
        <w:rPr/>
        <w:t xml:space="preserve">**</w:t>
      </w:r>
      <w:r>
        <w:rPr/>
        <w:t xml:space="preserve">合理便利应成为从课堂到岗位的可迁移支持清单。**</w:t>
      </w:r>
      <w:r>
        <w:rPr/>
        <w:t xml:space="preserve">合理便利是依个案需要作出的必要、适当调整，且不造成不当或过度负担；《残疾人权利公约》同时强调无障碍、独立生活和参与[</w:t>
      </w:r>
      <w:r>
        <w:rPr/>
        <w:t xml:space="preserve">11]。在学校端，这可包括图片化任务卡、额外示范时间、降低语言负荷、辅助技术、课堂助教；在实习和岗位端，可包括调整排班、改造工作站、拆分多步骤任务、提供视觉排班、允许辅助沟通设备、交通补贴和</w:t>
      </w:r>
      <w:r>
        <w:rPr/>
        <w:t xml:space="preserve"> supervisor残障意识培训。马来西亚《2008年残障者法令》提供反歧视与合理便利的政策基础，但公开资料未让本研究核验大都市区四机构的个案便利完成率、雇主申诉率或成本承担机制。</w:t>
      </w:r>
    </w:p>
    <w:p>
      <w:pPr>
        <w:spacing w:after="200"/>
      </w:pPr>
      <w:r>
        <w:t xml:space="preserve"> </w:t>
      </w:r>
    </w:p>
    <w:p>
      <w:r>
        <w:rPr/>
        <w:t xml:space="preserve">**</w:t>
      </w:r>
      <w:r>
        <w:rPr/>
        <w:t xml:space="preserve">PTK、微证书和SKM应各司其职。**</w:t>
      </w:r>
      <w:r>
        <w:rPr/>
        <w:t xml:space="preserve">SKM是较完整、由JPK和质量保证框架支撑的国家技能资格；微证书适合将咖啡制作、清洁流程、食品安全、收银、客服沟通或数字工具拆成可堆叠、可验证的短模块，降低传统完整课程的准入门槛；PTK/JPK若被理解为工作场所学习认可，应围绕真实岗位、明确能力单元和评估证据。文莱或马来西亚都不应要求所有智力障碍青年先取得高等级SKM才能实习；更可行的顺序是先经能力评估取得一项微证书，再完成受支持实习、岗位技能评价，最后根据岗位与职业标准决定是否进入SKM。</w:t>
      </w:r>
    </w:p>
    <w:p>
      <w:pPr>
        <w:spacing w:after="200"/>
      </w:pPr>
      <w:r>
        <w:t xml:space="preserve"> </w:t>
      </w:r>
    </w:p>
    <w:p>
      <w:pPr>
        <w:pStyle w:val="Heading2"/>
        <w:spacing w:before="0" w:after="200"/>
      </w:pPr>
      <w:r>
        <w:rPr>
          <w:b/>
          <w:sz w:val="36"/>
        </w:rPr>
        <w:t xml:space="preserve">七、课程与证书比较：共同趋势是“能力本位”，核心差距是证据闭环</w:t>
      </w:r>
    </w:p>
    <w:p>
      <w:r>
        <w:rPr/>
        <w:t xml:space="preserve">**</w:t>
      </w:r>
      <w:r>
        <w:rPr/>
        <w:t xml:space="preserve">两地共同趋势是从课程学时转向真实任务、认证和可转移技能。**</w:t>
      </w:r>
      <w:r>
        <w:rPr/>
        <w:t xml:space="preserve">上海奉贤把中餐、中点、西点、咖啡等可销售技能与沟通、礼仪、生活和实习连接；马来西亚TVET、SKM和微证书则以职业标准、实操与模块化学习为核心。两者都面临同一评价难题：完成课程不等于具备岗位生产力，取得证书也不等于得到合理便利后的持续工作。课程质量必须由真实岗位任务、完成时间、差错率、顾客互动、安全、交通、休息和自我调节等维度共同定义，而不能只看课堂作品。</w:t>
      </w:r>
    </w:p>
    <w:p>
      <w:pPr>
        <w:spacing w:after="200"/>
      </w:pPr>
      <w:r>
        <w:t xml:space="preserve"> </w:t>
      </w:r>
    </w:p>
    <w:p>
      <w:r>
        <w:rPr/>
        <w:t xml:space="preserve">**</w:t>
      </w:r>
      <w:r>
        <w:rPr/>
        <w:t xml:space="preserve">上海的优势在“学校—残联—企业”的转衔接口，马来西亚的优势在资格与社福供给的多元入口。**</w:t>
      </w:r>
      <w:r>
        <w:rPr/>
        <w:t xml:space="preserve">上海奉贤可展示区教育局、残联和企业共同参加见习推进会，校内基地与校外企业并存[</w:t>
      </w:r>
      <w:r>
        <w:rPr/>
        <w:t xml:space="preserve">4</w:t>
      </w:r>
      <w:r>
        <w:rPr/>
        <w:t xml:space="preserve">]；马来西亚可在KPM、JPK、KPWKM/JKM、PSH/NGO和企业之间提供多条入口。但前者缺学校级就业率、薪酬和保留率，后者缺中心级服务标准与统一数据。换言之，上海更接近“教育驱动的连续转衔”，马来西亚更接近“多部门拼盘”；两者都尚未被公开证据证明形成完整的结果闭环。</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1704"/>
        <w:gridCol w:w="3324"/>
        <w:gridCol w:w="2642"/>
      </w:tblGrid>
      <w:tr>
        <w:trPr>
          <w:tblHeader w:val="1"/>
        </w:trPr>
        <w:tc>
          <w:tcPr>
            <w:tcW w:w="1353" w:type="dxa"/>
            <w:vAlign w:val="center"/>
          </w:tcPr>
          <w:p>
            <w:pPr>
              <w:jc w:val="left"/>
            </w:pPr>
            <w:r>
              <w:rPr>
                <w:b/>
                <w:sz w:val="24"/>
              </w:rPr>
              <w:t xml:space="preserve">比较维度</w:t>
            </w:r>
          </w:p>
        </w:tc>
        <w:tc>
          <w:tcPr>
            <w:tcW w:w="1704" w:type="dxa"/>
            <w:vAlign w:val="center"/>
          </w:tcPr>
          <w:p>
            <w:pPr>
              <w:jc w:val="left"/>
            </w:pPr>
            <w:r>
              <w:rPr>
                <w:b/>
                <w:sz w:val="24"/>
              </w:rPr>
              <w:t xml:space="preserve">上海（奉贤中专为代表）</w:t>
            </w:r>
          </w:p>
        </w:tc>
        <w:tc>
          <w:tcPr>
            <w:tcW w:w="3324" w:type="dxa"/>
            <w:vAlign w:val="center"/>
          </w:tcPr>
          <w:p>
            <w:pPr>
              <w:jc w:val="left"/>
            </w:pPr>
            <w:r>
              <w:rPr>
                <w:b/>
                <w:sz w:val="24"/>
              </w:rPr>
              <w:t xml:space="preserve">吉隆坡大都市区（多部门拼盘）</w:t>
            </w:r>
          </w:p>
        </w:tc>
        <w:tc>
          <w:tcPr>
            <w:tcW w:w="2642" w:type="dxa"/>
            <w:vAlign w:val="center"/>
          </w:tcPr>
          <w:p>
            <w:pPr>
              <w:jc w:val="left"/>
            </w:pPr>
            <w:r>
              <w:rPr>
                <w:b/>
                <w:sz w:val="24"/>
              </w:rPr>
              <w:t xml:space="preserve">对成效的含义</w:t>
            </w:r>
          </w:p>
        </w:tc>
      </w:tr>
      <w:tr>
        <w:tc>
          <w:tcPr>
            <w:tcW w:w="1353" w:type="dxa"/>
            <w:vAlign w:val="center"/>
          </w:tcPr>
          <w:p>
            <w:pPr>
              <w:jc w:val="left"/>
            </w:pPr>
            <w:r>
              <w:rPr>
                <w:sz w:val="24"/>
              </w:rPr>
              <w:t xml:space="preserve">教育资格</w:t>
            </w:r>
          </w:p>
        </w:tc>
        <w:tc>
          <w:tcPr>
            <w:tcW w:w="1704" w:type="dxa"/>
            <w:vAlign w:val="center"/>
          </w:tcPr>
          <w:p>
            <w:pPr>
              <w:jc w:val="left"/>
            </w:pPr>
            <w:r>
              <w:rPr>
                <w:sz w:val="24"/>
              </w:rPr>
              <w:t xml:space="preserve">特殊中职班、四年制、课程方案</w:t>
            </w:r>
          </w:p>
        </w:tc>
        <w:tc>
          <w:tcPr>
            <w:tcW w:w="3324" w:type="dxa"/>
            <w:vAlign w:val="center"/>
          </w:tcPr>
          <w:p>
            <w:pPr>
              <w:jc w:val="left"/>
            </w:pPr>
            <w:r>
              <w:rPr>
                <w:sz w:val="24"/>
              </w:rPr>
              <w:t xml:space="preserve">KPM Kolej</w:t>
            </w:r>
            <w:r>
              <w:rPr>
                <w:sz w:val="24"/>
              </w:rPr>
              <w:t xml:space="preserve"> Vokasional/TVET、PPKI主要是基础教育支持</w:t>
            </w:r>
          </w:p>
        </w:tc>
        <w:tc>
          <w:tcPr>
            <w:tcW w:w="2642" w:type="dxa"/>
            <w:vAlign w:val="center"/>
          </w:tcPr>
          <w:p>
            <w:pPr>
              <w:jc w:val="left"/>
            </w:pPr>
            <w:r>
              <w:rPr>
                <w:sz w:val="24"/>
              </w:rPr>
              <w:t xml:space="preserve">上海可见明确班级身份；马来西亚不应把PPKI直接当TVET出口</w:t>
            </w:r>
          </w:p>
        </w:tc>
      </w:tr>
      <w:tr>
        <w:tc>
          <w:tcPr>
            <w:tcW w:w="1353" w:type="dxa"/>
            <w:vAlign w:val="center"/>
          </w:tcPr>
          <w:p>
            <w:pPr>
              <w:jc w:val="left"/>
            </w:pPr>
            <w:r>
              <w:rPr>
                <w:sz w:val="24"/>
              </w:rPr>
              <w:t xml:space="preserve">技能认证</w:t>
            </w:r>
          </w:p>
        </w:tc>
        <w:tc>
          <w:tcPr>
            <w:tcW w:w="1704" w:type="dxa"/>
            <w:vAlign w:val="center"/>
          </w:tcPr>
          <w:p>
            <w:pPr>
              <w:jc w:val="left"/>
            </w:pPr>
            <w:r>
              <w:rPr>
                <w:sz w:val="24"/>
              </w:rPr>
              <w:t xml:space="preserve">课程+实践；公开资料未给全校证书取证率</w:t>
            </w:r>
          </w:p>
        </w:tc>
        <w:tc>
          <w:tcPr>
            <w:tcW w:w="3324" w:type="dxa"/>
            <w:vAlign w:val="center"/>
          </w:tcPr>
          <w:p>
            <w:pPr>
              <w:jc w:val="left"/>
            </w:pPr>
            <w:r>
              <w:rPr>
                <w:sz w:val="24"/>
              </w:rPr>
              <w:t xml:space="preserve">SKM、SLDN、微证书等资格路径存在，机构取证率未公开</w:t>
            </w:r>
          </w:p>
        </w:tc>
        <w:tc>
          <w:tcPr>
            <w:tcW w:w="2642" w:type="dxa"/>
            <w:vAlign w:val="center"/>
          </w:tcPr>
          <w:p>
            <w:pPr>
              <w:jc w:val="left"/>
            </w:pPr>
            <w:r>
              <w:rPr>
                <w:sz w:val="24"/>
              </w:rPr>
              <w:t xml:space="preserve">证书数量不等于就业结果</w:t>
            </w:r>
          </w:p>
        </w:tc>
      </w:tr>
      <w:tr>
        <w:tc>
          <w:tcPr>
            <w:tcW w:w="1353" w:type="dxa"/>
            <w:vAlign w:val="center"/>
          </w:tcPr>
          <w:p>
            <w:pPr>
              <w:jc w:val="left"/>
            </w:pPr>
            <w:r>
              <w:rPr>
                <w:sz w:val="24"/>
              </w:rPr>
              <w:t xml:space="preserve">实习/见习</w:t>
            </w:r>
          </w:p>
        </w:tc>
        <w:tc>
          <w:tcPr>
            <w:tcW w:w="1704" w:type="dxa"/>
            <w:vAlign w:val="center"/>
          </w:tcPr>
          <w:p>
            <w:pPr>
              <w:jc w:val="left"/>
            </w:pPr>
            <w:r>
              <w:rPr>
                <w:sz w:val="24"/>
              </w:rPr>
              <w:t xml:space="preserve">认知—跟岗—顶岗；11人签署协议</w:t>
            </w:r>
          </w:p>
        </w:tc>
        <w:tc>
          <w:tcPr>
            <w:tcW w:w="3324" w:type="dxa"/>
            <w:vAlign w:val="center"/>
          </w:tcPr>
          <w:p>
            <w:pPr>
              <w:jc w:val="left"/>
            </w:pPr>
            <w:r>
              <w:rPr>
                <w:sz w:val="24"/>
              </w:rPr>
              <w:t xml:space="preserve">个案机构实习信息不足</w:t>
            </w:r>
          </w:p>
        </w:tc>
        <w:tc>
          <w:tcPr>
            <w:tcW w:w="2642" w:type="dxa"/>
            <w:vAlign w:val="center"/>
          </w:tcPr>
          <w:p>
            <w:pPr>
              <w:jc w:val="left"/>
            </w:pPr>
            <w:r>
              <w:rPr>
                <w:sz w:val="24"/>
              </w:rPr>
              <w:t xml:space="preserve">应公开岗位数、薪酬、无障碍和Job</w:t>
            </w:r>
            <w:r>
              <w:rPr>
                <w:sz w:val="24"/>
              </w:rPr>
              <w:t xml:space="preserve"> Coach配置</w:t>
            </w:r>
          </w:p>
        </w:tc>
      </w:tr>
      <w:tr>
        <w:tc>
          <w:tcPr>
            <w:tcW w:w="1353" w:type="dxa"/>
            <w:vAlign w:val="center"/>
          </w:tcPr>
          <w:p>
            <w:pPr>
              <w:jc w:val="left"/>
            </w:pPr>
            <w:r>
              <w:rPr>
                <w:sz w:val="24"/>
              </w:rPr>
              <w:t xml:space="preserve">就业安置</w:t>
            </w:r>
          </w:p>
        </w:tc>
        <w:tc>
          <w:tcPr>
            <w:tcW w:w="1704" w:type="dxa"/>
            <w:vAlign w:val="center"/>
          </w:tcPr>
          <w:p>
            <w:pPr>
              <w:jc w:val="left"/>
            </w:pPr>
            <w:r>
              <w:rPr>
                <w:sz w:val="24"/>
              </w:rPr>
              <w:t xml:space="preserve">区残联与企业协同；就业率未公开</w:t>
            </w:r>
          </w:p>
        </w:tc>
        <w:tc>
          <w:tcPr>
            <w:tcW w:w="3324" w:type="dxa"/>
            <w:vAlign w:val="center"/>
          </w:tcPr>
          <w:p>
            <w:pPr>
              <w:jc w:val="left"/>
            </w:pPr>
            <w:r>
              <w:rPr>
                <w:sz w:val="24"/>
              </w:rPr>
              <w:t xml:space="preserve">PLPP/Bengkel</w:t>
            </w:r>
            <w:r>
              <w:rPr>
                <w:sz w:val="24"/>
              </w:rPr>
              <w:t xml:space="preserve"> Daya、NGO、雇主多元；统一就业数据不足</w:t>
            </w:r>
          </w:p>
        </w:tc>
        <w:tc>
          <w:tcPr>
            <w:tcW w:w="2642" w:type="dxa"/>
            <w:vAlign w:val="center"/>
          </w:tcPr>
          <w:p>
            <w:pPr>
              <w:jc w:val="left"/>
            </w:pPr>
            <w:r>
              <w:rPr>
                <w:sz w:val="24"/>
              </w:rPr>
              <w:t xml:space="preserve">需区分开放就业、支持性就业和庇护工场</w:t>
            </w:r>
          </w:p>
        </w:tc>
      </w:tr>
      <w:tr>
        <w:tc>
          <w:tcPr>
            <w:tcW w:w="1353" w:type="dxa"/>
            <w:vAlign w:val="center"/>
          </w:tcPr>
          <w:p>
            <w:pPr>
              <w:jc w:val="left"/>
            </w:pPr>
            <w:r>
              <w:rPr>
                <w:sz w:val="24"/>
              </w:rPr>
              <w:t xml:space="preserve">长期支持</w:t>
            </w:r>
          </w:p>
        </w:tc>
        <w:tc>
          <w:tcPr>
            <w:tcW w:w="1704" w:type="dxa"/>
            <w:vAlign w:val="center"/>
          </w:tcPr>
          <w:p>
            <w:pPr>
              <w:jc w:val="left"/>
            </w:pPr>
            <w:r>
              <w:rPr>
                <w:sz w:val="24"/>
              </w:rPr>
              <w:t xml:space="preserve">残联资源与社工联校等线索；追踪指标未公开</w:t>
            </w:r>
          </w:p>
        </w:tc>
        <w:tc>
          <w:tcPr>
            <w:tcW w:w="3324" w:type="dxa"/>
            <w:vAlign w:val="center"/>
          </w:tcPr>
          <w:p>
            <w:pPr>
              <w:jc w:val="left"/>
            </w:pPr>
            <w:r>
              <w:rPr>
                <w:sz w:val="24"/>
              </w:rPr>
              <w:t xml:space="preserve">JKM福利、家庭、NGO；中心级追踪不足</w:t>
            </w:r>
          </w:p>
        </w:tc>
        <w:tc>
          <w:tcPr>
            <w:tcW w:w="2642" w:type="dxa"/>
            <w:vAlign w:val="center"/>
          </w:tcPr>
          <w:p>
            <w:pPr>
              <w:jc w:val="left"/>
            </w:pPr>
            <w:r>
              <w:rPr>
                <w:sz w:val="24"/>
              </w:rPr>
              <w:t xml:space="preserve">毕业后6/12个月保留率是必要指标</w:t>
            </w:r>
          </w:p>
        </w:tc>
      </w:tr>
    </w:tbl>
    <w:p>
      <w:pPr>
        <w:spacing w:before="240"/>
      </w:pPr>
      <w:r>
        <w:t xml:space="preserve"> </w:t>
      </w:r>
    </w:p>
    <w:p>
      <w:pPr>
        <w:pStyle w:val="Heading2"/>
        <w:spacing w:before="0" w:after="200"/>
      </w:pPr>
      <w:r>
        <w:rPr>
          <w:b/>
          <w:sz w:val="36"/>
        </w:rPr>
        <w:t xml:space="preserve">八、共同趋势、差异与政策推进路径</w:t>
      </w:r>
    </w:p>
    <w:p>
      <w:r>
        <w:rPr/>
        <w:t xml:space="preserve">**</w:t>
      </w:r>
      <w:r>
        <w:rPr/>
        <w:t xml:space="preserve">共同趋势是把“可训练性”转成“可就业能力”，但两地都没有公开足够结果来宣称成功。**</w:t>
      </w:r>
      <w:r>
        <w:rPr/>
        <w:t xml:space="preserve">上海有清晰课程、企业见习和区级协同，却缺少统一就业定义和毕业生追踪；马来西亚有SKM、TVET、庇护工场和企业培训，却因部门分割缺少可比较的中心级数据。全球智力障碍青年竞争性就业比例偏低[</w:t>
      </w:r>
      <w:r>
        <w:rPr/>
        <w:t xml:space="preserve">10</w:t>
      </w:r>
      <w:r>
        <w:rPr/>
        <w:t xml:space="preserve">]，这既说明岗位、合理便利和就业教练的重要性，也说明研究不能把“参加课程”算作就业。</w:t>
      </w:r>
    </w:p>
    <w:p>
      <w:pPr>
        <w:spacing w:after="200"/>
      </w:pPr>
      <w:r>
        <w:t xml:space="preserve"> </w:t>
      </w:r>
    </w:p>
    <w:p>
      <w:r>
        <w:rPr/>
        <w:t xml:space="preserve">**</w:t>
      </w:r>
      <w:r>
        <w:rPr/>
        <w:t xml:space="preserve">最大制度差异是责任主线的不同，而不是“谁更重视残障”。**</w:t>
      </w:r>
      <w:r>
        <w:rPr/>
        <w:t xml:space="preserve">上海的特殊中职以教育部门为主、残联与学校协同，政策文本已经要求“一人一案”和转衔安置[</w:t>
      </w:r>
      <w:r>
        <w:rPr/>
        <w:t xml:space="preserve">5</w:t>
      </w:r>
      <w:r>
        <w:rPr/>
        <w:t xml:space="preserve">]；马来西亚则由教育部、技能发展局、妇女家庭社区发展部/JKM、雇主和NGO分别承担部分功能。前者更容易形成校内课程与区级协调机制，后者可能更灵活地覆盖不同年龄和障碍类别，却更依赖个案管理者把碎片服务串联起来。若把上海区级制度直接移植到马来西亚，会忽略其联邦制、州属和部门权限；若把马来西亚多入口体系直接移植到文莱，也可能造成机构重复而缺乏统一转衔。</w:t>
      </w:r>
    </w:p>
    <w:p>
      <w:pPr>
        <w:spacing w:after="200"/>
      </w:pPr>
      <w:r>
        <w:t xml:space="preserve"> </w:t>
      </w:r>
    </w:p>
    <w:p>
      <w:r>
        <w:rPr/>
        <w:t xml:space="preserve">**</w:t>
      </w:r>
      <w:r>
        <w:rPr/>
        <w:t xml:space="preserve">推进应分四步，而非另设没有衔接的培训班。**</w:t>
      </w:r>
      <w:r>
        <w:rPr/>
        <w:t xml:space="preserve">第一，建立15—21岁转衔登记：每次评估、课程、证书、实习和就业状态都带同意、去标识化编码，记录障碍类别、岗位偏好、交通和合理便利。第二，以真实岗位反推微课程：先与零售、餐饮、洗车、烘焙、清洁、仓储和行政岗位共同定义5—8项能力单元，每项均含安全、任务、沟通、生产力和自我调节。第三，建立三阶段实习：从校内模拟/校内生产到外部受支持实习，再到竞争性岗位；每阶段设个人目标、Job</w:t>
      </w:r>
      <w:r>
        <w:rPr/>
        <w:t xml:space="preserve"> Coach计划、退场规则和就业结果。第四，建立毕业后追踪：至少记录6个月、12个月的在岗状态、工时、工资、岗位类别和所需支持；庇护工场另设参与度、技能进阶与转出率。</w:t>
      </w:r>
    </w:p>
    <w:p>
      <w:pPr>
        <w:spacing w:after="200"/>
      </w:pPr>
      <w:r>
        <w:t xml:space="preserve"> </w:t>
      </w:r>
    </w:p>
    <w:p>
      <w:r>
        <w:rPr/>
        <w:t xml:space="preserve">**</w:t>
      </w:r>
      <w:r>
        <w:rPr/>
        <w:t xml:space="preserve">就业教练是跨制度的关键专业角色，而不是志愿者的代称。**</w:t>
      </w:r>
      <w:r>
        <w:rPr/>
        <w:t xml:space="preserve">Job</w:t>
      </w:r>
      <w:r>
        <w:rPr/>
        <w:t xml:space="preserve"> Coach应承担岗位分析、任务分解、雇主沟通、自然支持建立、进度评估和逐步撤除支持；学校教师、家长和企业主管需明确分工。对雇主而言，支持性就业的经济价值不仅在于履行责任，也在于降低新人培训与流失成本；但本研究没有取得上海或吉隆坡大都市区企业的单位成本、留任率或生产力比较数据，故这一判断只能作为后续试点假设。</w:t>
      </w:r>
    </w:p>
    <w:p>
      <w:pPr>
        <w:spacing w:after="200"/>
      </w:pPr>
      <w:r>
        <w:t xml:space="preserve"> </w:t>
      </w:r>
    </w:p>
    <w:p>
      <w:pPr>
        <w:pStyle w:val="Heading2"/>
        <w:spacing w:before="0" w:after="200"/>
      </w:pPr>
      <w:r>
        <w:rPr>
          <w:b/>
          <w:sz w:val="36"/>
        </w:rPr>
        <w:t xml:space="preserve">九、对文莱的启示与可操作迁移方案</w:t>
      </w:r>
    </w:p>
    <w:p>
      <w:r>
        <w:rPr/>
        <w:t xml:space="preserve">**</w:t>
      </w:r>
      <w:r>
        <w:rPr/>
        <w:t xml:space="preserve">文莱应把“先建数据和小规模闭环”置于建设大型机构之前。**</w:t>
      </w:r>
      <w:r>
        <w:rPr/>
        <w:t xml:space="preserve">文莱人口和市场规模较小，复制大规模职业学校未必经济。更适合从少数可核验雇主和5—8个高频岗位开始，由教育部门、卫生/社会福利、残障服务组织、企业和家庭共同建立个案管理。每个青年都应有一份包含能力、支持需求、岗位偏好和合理便利的转衔计划；每项技能课程都应对应真实任务与评估证据，而不是只完成课堂作品。</w:t>
      </w:r>
    </w:p>
    <w:p>
      <w:pPr>
        <w:spacing w:after="200"/>
      </w:pPr>
      <w:r>
        <w:t xml:space="preserve"> </w:t>
      </w:r>
    </w:p>
    <w:p>
      <w:r>
        <w:rPr/>
        <w:t xml:space="preserve">**</w:t>
      </w:r>
      <w:r>
        <w:rPr/>
        <w:t xml:space="preserve">证书体系要以“可堆叠、低门槛、岗位相关”为优先。**</w:t>
      </w:r>
      <w:r>
        <w:rPr/>
        <w:t xml:space="preserve">文莱可借鉴SKM和微证书的模块化思想：先用短模块证明食品安全、收银、清洁、客服、搬运、咖啡制作或数字工具等能力，再依岗位需要累积；对需要更高资格者，再进入正式TVET或国家技能评估。不能把完整国家证书设为所有学生的第一道门槛。对开放就业困难者，应把PLPP/Bengkel</w:t>
      </w:r>
      <w:r>
        <w:rPr/>
        <w:t xml:space="preserve"> Daya式日间服务明确定位为过渡训练、生产性活动或长期支持，分别报告参与、技能进阶和转出，避免用“就业安置”掩盖庇护性生产。</w:t>
      </w:r>
    </w:p>
    <w:p>
      <w:pPr>
        <w:spacing w:after="200"/>
      </w:pPr>
      <w:r>
        <w:t xml:space="preserve"> </w:t>
      </w:r>
    </w:p>
    <w:p>
      <w:r>
        <w:rPr/>
        <w:t xml:space="preserve">**</w:t>
      </w:r>
      <w:r>
        <w:rPr/>
        <w:t xml:space="preserve">企业接口必须同时解决岗位设计、合理便利和保留率。**</w:t>
      </w:r>
      <w:r>
        <w:rPr/>
        <w:t xml:space="preserve">建议选择物流、政府服务、酒店、餐饮、零售、农业加工和行政辅助等可拆分岗位，与雇主共同进行任务分析、无障碍检查、排班调整和监督者培训。建立Job</w:t>
      </w:r>
      <w:r>
        <w:rPr/>
        <w:t xml:space="preserve"> Coach岗位并规定支持强度随员工独立程度递减；6个月与12个月保留率、平均工时、工资和工作满意度应成为试点的最低结果指标。文莱的迁移条件包括：国家层面的跨部门授权、残障数据治理规则、无障碍预算、雇主激励机制，以及由青年本人主导的职业偏好表达。</w:t>
      </w:r>
    </w:p>
    <w:p>
      <w:pPr>
        <w:spacing w:after="200"/>
      </w:pPr>
      <w:r>
        <w:t xml:space="preserve"> </w:t>
      </w:r>
    </w:p>
    <w:p>
      <w:r>
        <w:rPr/>
        <w:t xml:space="preserve">**</w:t>
      </w:r>
      <w:r>
        <w:rPr/>
        <w:t xml:space="preserve">必须保留“不就业也是合法结果”的服务伦理。**</w:t>
      </w:r>
      <w:r>
        <w:rPr/>
        <w:t xml:space="preserve">支持目标应是扩大选择、参与和自主，而不是以就业率施压所有青年。对偏好日间活动、健康限制较大或家庭支持不足者，应提供有质量、有社会参与和技能进阶的替代服务；对希望竞争性就业者，则应提供从微证书、实习、合理便利到长期支持的连续机会。只有同时公开就业、未就业、退出、庇护参与和保留数据，才能避免把最易就业者包装成整体成功。</w:t>
      </w:r>
    </w:p>
    <w:p>
      <w:pPr>
        <w:spacing w:after="200"/>
      </w:pPr>
      <w:r>
        <w:t xml:space="preserve"> </w:t>
      </w:r>
    </w:p>
    <w:p>
      <w:pPr>
        <w:pStyle w:val="Heading2"/>
        <w:spacing w:before="0" w:after="200"/>
      </w:pPr>
      <w:r>
        <w:rPr>
          <w:b/>
          <w:sz w:val="36"/>
        </w:rPr>
        <w:t xml:space="preserve">十、结论</w:t>
      </w:r>
    </w:p>
    <w:p>
      <w:r>
        <w:rPr/>
        <w:t xml:space="preserve">上海奉贤中专呈现出相对可追踪的特殊职业教育链条：2017年开办、四年烹饪与营养膳食方向、课程覆盖专业与生活沟通、采用认知—跟岗—顶岗实践，并有教育、残联和企业协同。其最可靠的公开结果仍是约30%社会岗位实践概数和11名学生签署见习协议，绝非学校就业率。马来西亚则提供了SKM、TVET、PLPP/Bengkel Daya、NGO和雇主等多入口，但没有形成公开可核验的统一转衔数据。SMPKV Shah Alam和Bengkel Daya Klang位于雪兰莪，SAMH Wisma</w:t>
      </w:r>
      <w:r>
        <w:rPr/>
        <w:t xml:space="preserve"> Harapan位于吉隆坡市内，PLPP必须按具体中心核验；四者不能被合并为“吉隆坡SMPKV”。</w:t>
      </w:r>
    </w:p>
    <w:p>
      <w:pPr>
        <w:spacing w:after="200"/>
      </w:pPr>
      <w:r>
        <w:t xml:space="preserve"> </w:t>
      </w:r>
    </w:p>
    <w:p>
      <w:r>
        <w:rPr/>
        <w:t xml:space="preserve">比较的最终结论不是“上海模式优于吉隆坡”，而是两种系统都需完成证据闭环：上海应把参与和协议数据升级为就业定义、薪酬、合理便利和保留率；吉隆坡大都市区应把部门碎片服务通过个案登记、能力本位微证书、Job</w:t>
      </w:r>
      <w:r>
        <w:rPr/>
        <w:t xml:space="preserve"> Coach与雇主接口串联。对文莱最有价值的迁移是先建立小规模、可追踪、可退出的支持性就业试点，同时保障非就业者的高质量日间与康复服务；在没有公开数据的地方，应明确承认证据不足，而不是用招生人数、基地数量或证书名称替代就业结果。</w:t>
      </w:r>
    </w:p>
    <w:p>
      <w:pPr>
        <w:spacing w:after="200"/>
      </w:pPr>
      <w:r>
        <w:t xml:space="preserve"> </w:t>
      </w:r>
    </w:p>
    <w:p>
      <w:pPr>
        <w:pStyle w:val="Heading2"/>
        <w:spacing w:before="0" w:after="200"/>
      </w:pPr>
      <w:r>
        <w:rPr>
          <w:b/>
          <w:sz w:val="36"/>
        </w:rPr>
        <w:t xml:space="preserve">引用来源</w:t>
      </w:r>
    </w:p>
    <w:p>
      <w:r>
        <w:rPr/>
        <w:t xml:space="preserve">[</w:t>
      </w:r>
      <w:r>
        <w:rPr/>
        <w:t xml:space="preserve">1] </w:t>
      </w:r>
      <w:r>
        <w:rPr>
          <w:color w:val="0563C1"/>
        </w:rPr>
        <w:t xml:space="preserve">https://www.fengxian.gov.cn/gzms/20230607/44579.html</w:t>
      </w:r>
    </w:p>
    <w:p>
      <w:pPr>
        <w:spacing w:after="200"/>
      </w:pPr>
      <w:r>
        <w:t xml:space="preserve"> </w:t>
      </w:r>
    </w:p>
    <w:p>
      <w:pPr>
        <w:pStyle w:val="Quote"/>
        <w:pBdr>
          <w:left w:val="single" w:color="BFBFBF" w:sz="12" w:space="8"/>
        </w:pBdr>
        <w:ind w:left="300"/>
      </w:pPr>
      <w:r>
        <w:rPr/>
        <w:t xml:space="preserve">“据不完全统计，奉贤中专特教班有过社会岗位实践经历的孩子大概在30%左右，从真正就业来说，比例更低。”</w:t>
      </w:r>
    </w:p>
    <w:p>
      <w:pPr>
        <w:spacing w:after="200"/>
      </w:pPr>
      <w:r>
        <w:t xml:space="preserve"> </w:t>
      </w:r>
    </w:p>
    <w:p>
      <w:r>
        <w:rPr/>
        <w:t xml:space="preserve">[</w:t>
      </w:r>
      <w:r>
        <w:rPr/>
        <w:t xml:space="preserve">2] </w:t>
      </w:r>
      <w:r>
        <w:rPr>
          <w:color w:val="0563C1"/>
        </w:rPr>
        <w:t xml:space="preserve">https://www.fengxian.gov.cn/gzms/20230607/44579.html</w:t>
      </w:r>
    </w:p>
    <w:p>
      <w:pPr>
        <w:spacing w:after="200"/>
      </w:pPr>
      <w:r>
        <w:t xml:space="preserve"> </w:t>
      </w:r>
    </w:p>
    <w:p>
      <w:pPr>
        <w:pStyle w:val="Quote"/>
        <w:pBdr>
          <w:left w:val="single" w:color="BFBFBF" w:sz="12" w:space="8"/>
        </w:pBdr>
        <w:ind w:left="300"/>
      </w:pPr>
      <w:r>
        <w:rPr/>
        <w:t xml:space="preserve">“特教班开设了烹饪、营养膳食专业。”</w:t>
      </w:r>
    </w:p>
    <w:p>
      <w:pPr>
        <w:spacing w:after="200"/>
      </w:pPr>
      <w:r>
        <w:t xml:space="preserve"> </w:t>
      </w:r>
    </w:p>
    <w:p>
      <w:r>
        <w:rPr/>
        <w:t xml:space="preserve">[</w:t>
      </w:r>
      <w:r>
        <w:rPr/>
        <w:t xml:space="preserve">3] </w:t>
      </w:r>
      <w:r>
        <w:rPr>
          <w:color w:val="0563C1"/>
        </w:rPr>
        <w:t xml:space="preserve">https://edu.eastday.com/node2/jypd/n5/20210312/u1ai37879.html</w:t>
      </w:r>
    </w:p>
    <w:p>
      <w:pPr>
        <w:spacing w:after="200"/>
      </w:pPr>
      <w:r>
        <w:t xml:space="preserve"> </w:t>
      </w:r>
    </w:p>
    <w:p>
      <w:pPr>
        <w:pStyle w:val="Quote"/>
        <w:pBdr>
          <w:left w:val="single" w:color="BFBFBF" w:sz="12" w:space="8"/>
        </w:pBdr>
        <w:ind w:left="300"/>
      </w:pPr>
      <w:r>
        <w:rPr/>
        <w:t xml:space="preserve">“奉贤区于2017年9月在上海工商职业技术学校开办了奉贤教育史上首个特教中职班。”</w:t>
      </w:r>
    </w:p>
    <w:p>
      <w:pPr>
        <w:spacing w:after="200"/>
      </w:pPr>
      <w:r>
        <w:t xml:space="preserve"> </w:t>
      </w:r>
    </w:p>
    <w:p>
      <w:r>
        <w:rPr/>
        <w:t xml:space="preserve">[</w:t>
      </w:r>
      <w:r>
        <w:rPr/>
        <w:t xml:space="preserve">4] </w:t>
      </w:r>
      <w:r>
        <w:rPr>
          <w:color w:val="0563C1"/>
        </w:rPr>
        <w:t xml:space="preserve">https://www.fengxian.gov.cn/jyj/xwzx/xwdt/20241014/78135.html</w:t>
      </w:r>
    </w:p>
    <w:p>
      <w:pPr>
        <w:spacing w:after="200"/>
      </w:pPr>
      <w:r>
        <w:t xml:space="preserve"> </w:t>
      </w:r>
    </w:p>
    <w:p>
      <w:pPr>
        <w:pStyle w:val="Quote"/>
        <w:pBdr>
          <w:left w:val="single" w:color="BFBFBF" w:sz="12" w:space="8"/>
        </w:pBdr>
        <w:ind w:left="300"/>
      </w:pPr>
      <w:r>
        <w:rPr/>
        <w:t xml:space="preserve">“中职特教21级学生顶岗见习推进会在奉贤中等专业学校举行。”</w:t>
      </w:r>
    </w:p>
    <w:p>
      <w:pPr>
        <w:spacing w:after="200"/>
      </w:pPr>
      <w:r>
        <w:t xml:space="preserve"> </w:t>
      </w:r>
    </w:p>
    <w:p>
      <w:r>
        <w:rPr/>
        <w:t xml:space="preserve">[</w:t>
      </w:r>
      <w:r>
        <w:rPr/>
        <w:t xml:space="preserve">5] </w:t>
      </w:r>
      <w:r>
        <w:rPr>
          <w:color w:val="0563C1"/>
        </w:rPr>
        <w:t xml:space="preserve">https://www.shanghai.gov.cn/nw12344/20220930/d0b2ace3b72a4410a99f37531a4ed4fc.html</w:t>
      </w:r>
    </w:p>
    <w:p>
      <w:pPr>
        <w:spacing w:after="200"/>
      </w:pPr>
      <w:r>
        <w:t xml:space="preserve"> </w:t>
      </w:r>
    </w:p>
    <w:p>
      <w:pPr>
        <w:pStyle w:val="Quote"/>
        <w:pBdr>
          <w:left w:val="single" w:color="BFBFBF" w:sz="12" w:space="8"/>
        </w:pBdr>
        <w:ind w:left="300"/>
      </w:pPr>
      <w:r>
        <w:rPr/>
        <w:t xml:space="preserve">“充分利用学校和企业资源，协同实施课堂教学与实习实训。”</w:t>
      </w:r>
    </w:p>
    <w:p>
      <w:pPr>
        <w:spacing w:after="200"/>
      </w:pPr>
      <w:r>
        <w:t xml:space="preserve"> </w:t>
      </w:r>
    </w:p>
    <w:p>
      <w:r>
        <w:rPr/>
        <w:t xml:space="preserve">[</w:t>
      </w:r>
      <w:r>
        <w:rPr/>
        <w:t xml:space="preserve">6] </w:t>
      </w:r>
      <w:r>
        <w:rPr>
          <w:color w:val="0563C1"/>
        </w:rPr>
        <w:t xml:space="preserve">https://www.chinaqw.com/hqhr/2018/10-22/205806.shtml</w:t>
      </w:r>
    </w:p>
    <w:p>
      <w:pPr>
        <w:spacing w:after="200"/>
      </w:pPr>
      <w:r>
        <w:t xml:space="preserve"> </w:t>
      </w:r>
    </w:p>
    <w:p>
      <w:pPr>
        <w:pStyle w:val="Quote"/>
        <w:pBdr>
          <w:left w:val="single" w:color="BFBFBF" w:sz="12" w:space="8"/>
        </w:pBdr>
        <w:ind w:left="300"/>
      </w:pPr>
      <w:r>
        <w:rPr/>
        <w:t xml:space="preserve">“可考取技术发展局负责颁发的第一至第五级大马技术证书。”</w:t>
      </w:r>
    </w:p>
    <w:p>
      <w:pPr>
        <w:spacing w:after="200"/>
      </w:pPr>
      <w:r>
        <w:t xml:space="preserve"> </w:t>
      </w:r>
    </w:p>
    <w:p>
      <w:r>
        <w:rPr/>
        <w:t xml:space="preserve">[</w:t>
      </w:r>
      <w:r>
        <w:rPr/>
        <w:t xml:space="preserve">7] </w:t>
      </w:r>
      <w:r>
        <w:rPr>
          <w:color w:val="0563C1"/>
        </w:rPr>
        <w:t xml:space="preserve">http://chisa.edu.cn/global/202604/t20260423_2111470563.html</w:t>
      </w:r>
    </w:p>
    <w:p>
      <w:pPr>
        <w:spacing w:after="200"/>
      </w:pPr>
      <w:r>
        <w:t xml:space="preserve"> </w:t>
      </w:r>
    </w:p>
    <w:p>
      <w:pPr>
        <w:pStyle w:val="Quote"/>
        <w:pBdr>
          <w:left w:val="single" w:color="BFBFBF" w:sz="12" w:space="8"/>
        </w:pBdr>
        <w:ind w:left="300"/>
      </w:pPr>
      <w:r>
        <w:rPr/>
        <w:t xml:space="preserve">“马来西亚国家职业技术教育与培训理事会作出多项战略决策，旨在提升职业教育毕业生的就业能力。”</w:t>
      </w:r>
    </w:p>
    <w:p>
      <w:pPr>
        <w:spacing w:after="200"/>
      </w:pPr>
      <w:r>
        <w:t xml:space="preserve"> </w:t>
      </w:r>
    </w:p>
    <w:p>
      <w:r>
        <w:rPr/>
        <w:t xml:space="preserve">[</w:t>
      </w:r>
      <w:r>
        <w:rPr/>
        <w:t xml:space="preserve">8] </w:t>
      </w:r>
      <w:r>
        <w:rPr>
          <w:color w:val="0563C1"/>
        </w:rPr>
        <w:t xml:space="preserve">https://www.chinaqw.com/hqhr/2017/02-09/125641.shtml</w:t>
      </w:r>
    </w:p>
    <w:p>
      <w:pPr>
        <w:spacing w:after="200"/>
      </w:pPr>
      <w:r>
        <w:t xml:space="preserve"> </w:t>
      </w:r>
    </w:p>
    <w:p>
      <w:pPr>
        <w:pStyle w:val="Quote"/>
        <w:pBdr>
          <w:left w:val="single" w:color="BFBFBF" w:sz="12" w:space="8"/>
        </w:pBdr>
        <w:ind w:left="300"/>
      </w:pPr>
      <w:r>
        <w:rPr/>
        <w:t xml:space="preserve">“由于这些自闭儿不能独立完成工作……通过讲故事的方式，加强彼此的沟通，让他们能更快融入整个工作模式。”</w:t>
      </w:r>
    </w:p>
    <w:p>
      <w:pPr>
        <w:spacing w:after="200"/>
      </w:pPr>
      <w:r>
        <w:t xml:space="preserve"> </w:t>
      </w:r>
    </w:p>
    <w:p>
      <w:r>
        <w:rPr/>
        <w:t xml:space="preserve">[</w:t>
      </w:r>
      <w:r>
        <w:rPr/>
        <w:t xml:space="preserve">9] </w:t>
      </w:r>
      <w:r>
        <w:rPr>
          <w:color w:val="0563C1"/>
        </w:rPr>
        <w:t xml:space="preserve">https://www.news.cn/20251011/2408915ef044495c8d32e8b04b1bbccc/c.html</w:t>
      </w:r>
    </w:p>
    <w:p>
      <w:pPr>
        <w:spacing w:after="200"/>
      </w:pPr>
      <w:r>
        <w:t xml:space="preserve"> </w:t>
      </w:r>
    </w:p>
    <w:p>
      <w:pPr>
        <w:pStyle w:val="Quote"/>
        <w:pBdr>
          <w:left w:val="single" w:color="BFBFBF" w:sz="12" w:space="8"/>
        </w:pBdr>
        <w:ind w:left="300"/>
      </w:pPr>
      <w:r>
        <w:rPr/>
        <w:t xml:space="preserve">“马来西亚妇女、家庭和社区发展部长南希·舒克里……推动妇女事业发展需要全球共同努力。”</w:t>
      </w:r>
    </w:p>
    <w:p>
      <w:pPr>
        <w:spacing w:after="200"/>
      </w:pPr>
      <w:r>
        <w:t xml:space="preserve"> </w:t>
      </w:r>
    </w:p>
    <w:p>
      <w:r>
        <w:rPr/>
        <w:t xml:space="preserve">[</w:t>
      </w:r>
      <w:r>
        <w:rPr/>
        <w:t xml:space="preserve">10] </w:t>
      </w:r>
      <w:r>
        <w:rPr>
          <w:color w:val="0563C1"/>
        </w:rPr>
        <w:t xml:space="preserve">https://jtys.nstl.gov.cn/paper_detail.html?doi=10.1007/s10926-015-9586-1</w:t>
      </w:r>
    </w:p>
    <w:p>
      <w:pPr>
        <w:spacing w:after="200"/>
      </w:pPr>
      <w:r>
        <w:t xml:space="preserve"> </w:t>
      </w:r>
    </w:p>
    <w:p>
      <w:pPr>
        <w:pStyle w:val="Quote"/>
        <w:pBdr>
          <w:left w:val="single" w:color="BFBFBF" w:sz="12" w:space="8"/>
        </w:pBdr>
        <w:ind w:left="300"/>
      </w:pPr>
      <w:r>
        <w:rPr/>
        <w:t xml:space="preserve">“Current estimates show that the number of people with ID who have some form of paid employment are very low, ranging from 9 to 40 % across different</w:t>
      </w:r>
      <w:r>
        <w:rPr/>
        <w:t xml:space="preserve"> countries.”</w:t>
      </w:r>
    </w:p>
    <w:p>
      <w:pPr>
        <w:spacing w:after="200"/>
      </w:pPr>
      <w:r>
        <w:t xml:space="preserve"> </w:t>
      </w:r>
    </w:p>
    <w:p>
      <w:r>
        <w:rPr/>
        <w:t xml:space="preserve">[</w:t>
      </w:r>
      <w:r>
        <w:rPr/>
        <w:t xml:space="preserve">11] </w:t>
      </w:r>
      <w:r>
        <w:rPr>
          <w:color w:val="0563C1"/>
        </w:rPr>
        <w:t xml:space="preserve">https://www.docin.com/p-505267657.html</w:t>
      </w:r>
    </w:p>
    <w:p>
      <w:pPr>
        <w:spacing w:after="200"/>
      </w:pPr>
      <w:r>
        <w:t xml:space="preserve"> </w:t>
      </w:r>
    </w:p>
    <w:p>
      <w:pPr>
        <w:pStyle w:val="Quote"/>
        <w:pBdr>
          <w:left w:val="single" w:color="BFBFBF" w:sz="12" w:space="8"/>
        </w:pBdr>
        <w:ind w:left="300"/>
      </w:pPr>
      <w:r>
        <w:rPr/>
        <w:t xml:space="preserve">“Reasonable accommodation means necessary and appropriate modification and adjustments not imposing a disproportionate or undue</w:t>
      </w:r>
      <w:r>
        <w:rPr/>
        <w:t xml:space="preserve"> burden.”</w:t>
      </w:r>
    </w:p>
    <w:p>
      <w:pPr>
        <w:spacing w:after="200"/>
      </w:pPr>
      <w:r>
        <w:t xml:space="preserve"> </w:t>
      </w:r>
    </w:p>
    <w:p>
      <w:r>
        <w:rPr/>
        <w:t xml:space="preserve">[</w:t>
      </w:r>
      <w:r>
        <w:rPr/>
        <w:t xml:space="preserve">12] </w:t>
      </w:r>
      <w:r>
        <w:rPr>
          <w:color w:val="0563C1"/>
        </w:rPr>
        <w:t xml:space="preserve">https://www.chinanews.com/hr/2011/12-05/3507722.shtml</w:t>
      </w:r>
    </w:p>
    <w:p>
      <w:pPr>
        <w:spacing w:after="200"/>
      </w:pPr>
      <w:r>
        <w:t xml:space="preserve"> </w:t>
      </w:r>
    </w:p>
    <w:p>
      <w:pPr>
        <w:pStyle w:val="Quote"/>
        <w:pBdr>
          <w:left w:val="single" w:color="BFBFBF" w:sz="12" w:space="8"/>
        </w:pBdr>
        <w:ind w:left="300"/>
      </w:pPr>
      <w:r>
        <w:rPr/>
        <w:t xml:space="preserve">“政府将于2012年执行一项全新技职认证，新措施执行后，特定技术领域都必须获得认证才可营业和就业。”</w:t>
      </w:r>
    </w:p>
    <w:p>
      <w:pPr>
        <w:spacing w:after="200"/>
      </w:pPr>
      <w:r>
        <w:t xml:space="preserve"> </w:t>
      </w:r>
    </w:p>
    <w:p>
      <w:r>
        <w:rPr/>
        <w:t xml:space="preserve">[</w:t>
      </w:r>
      <w:r>
        <w:rPr/>
        <w:t xml:space="preserve">13] </w:t>
      </w:r>
      <w:r>
        <w:rPr>
          <w:color w:val="0563C1"/>
        </w:rPr>
        <w:t xml:space="preserve">https://www.chinanews.com/hr/yzhrxw/news/2008/04-03/1210966.shtml</w:t>
      </w:r>
    </w:p>
    <w:p>
      <w:pPr>
        <w:spacing w:after="200"/>
      </w:pPr>
      <w:r>
        <w:t xml:space="preserve"> </w:t>
      </w:r>
    </w:p>
    <w:p>
      <w:pPr>
        <w:pStyle w:val="Quote"/>
        <w:pBdr>
          <w:left w:val="single" w:color="BFBFBF" w:sz="12" w:space="8"/>
        </w:pBdr>
        <w:ind w:left="300"/>
      </w:pPr>
      <w:r>
        <w:rPr/>
        <w:t xml:space="preserve">“妇女、家庭与社会发展部目前的系统已不能存有剥夺不幸人士的空间。”</w:t>
      </w:r>
    </w:p>
    <w:p>
      <w:pPr>
        <w:spacing w:after="200"/>
      </w:pPr>
      <w:r>
        <w:t xml:space="preserve"> </w:t>
      </w:r>
    </w:p>
    <w:p>
      <w:r>
        <w:rPr/>
        <w:t xml:space="preserve">[</w:t>
      </w:r>
      <w:r>
        <w:rPr/>
        <w:t xml:space="preserve">14] </w:t>
      </w:r>
      <w:r>
        <w:rPr>
          <w:color w:val="0563C1"/>
        </w:rPr>
        <w:t xml:space="preserve">https://www.humanrights.cn/2018/03/01/792884e891414a39b83f62bf159da2bd.html</w:t>
      </w:r>
    </w:p>
    <w:p>
      <w:pPr>
        <w:spacing w:after="200"/>
      </w:pPr>
      <w:r>
        <w:t xml:space="preserve"> </w:t>
      </w:r>
    </w:p>
    <w:p>
      <w:pPr>
        <w:pStyle w:val="Quote"/>
        <w:pBdr>
          <w:left w:val="single" w:color="BFBFBF" w:sz="12" w:space="8"/>
        </w:pBdr>
        <w:ind w:left="300"/>
      </w:pPr>
      <w:r>
        <w:rPr/>
        <w:t xml:space="preserve">“合理便利既可以在无障碍建设不足的情况下作为无障碍建设的补充，又可以在不涉及无障碍建设的领域发挥独特作用。”</w:t>
      </w:r>
    </w:p>
    <w:p>
      <w:pPr>
        <w:spacing w:after="200"/>
      </w:pPr>
      <w:r>
        <w:t xml:space="preserve"> </w:t>
      </w:r>
    </w:p>
    <w:p>
      <w:r>
        <w:rPr/>
        <w:t xml:space="preserve">[</w:t>
      </w:r>
      <w:r>
        <w:rPr/>
        <w:t xml:space="preserve">15] </w:t>
      </w:r>
      <w:r>
        <w:rPr>
          <w:color w:val="0563C1"/>
        </w:rPr>
        <w:t xml:space="preserve">https://hf.nstl.gov.cn/paper_detail.html?id=7a5ec432b2b22421e9e8616cd44ec638</w:t>
      </w:r>
    </w:p>
    <w:p>
      <w:pPr>
        <w:spacing w:after="200"/>
      </w:pPr>
      <w:r>
        <w:t xml:space="preserve"> </w:t>
      </w:r>
    </w:p>
    <w:p>
      <w:pPr>
        <w:pStyle w:val="Quote"/>
        <w:pBdr>
          <w:left w:val="single" w:color="BFBFBF" w:sz="12" w:space="8"/>
        </w:pBdr>
        <w:ind w:left="300"/>
      </w:pPr>
      <w:r>
        <w:rPr/>
        <w:t xml:space="preserve">“This study systematically reviewed the literature to understand characteristics of programs that support competitive</w:t>
      </w:r>
      <w:r>
        <w:rPr/>
        <w:t xml:space="preserve"> employment.”</w:t>
      </w:r>
    </w:p>
    <w:sectPr>
      <w:pgSz w:w="11906" w:h="16838" w:orient="portrait"/>
      <w:pgMar w:top="1440" w:right="1440" w:bottom="1440" w:left="1440" w:header="720" w:footer="720" w:gutter="0"/>
    </w:sectPr>
  </w:body>
</w:document>
</file>

<file path=word/styles.xml><?xml version="1.0" encoding="utf-8"?>
<w:style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4="http://schemas.microsoft.com/office/word/2010/wordml" xmlns:w10="urn:schemas-microsoft-com:office:word" xmlns:sl="http://schemas.openxmlformats.org/schemaLibrary/2006/main" xmlns:wpsCustomData="http://www.wps.cn/officeDocument/2013/wpsCustomData" mc:Ignorable="w14">
  <w:style w:type="paragraph" w:styleId="Normal" w:default="true">
    <w:name w:val="Normal"/>
    <w:pPr>
      <w:spacing w:before="0" w:after="120"/>
      <w:jc w:val="left"/>
    </w:pPr>
    <w:rPr>
      <w:rFonts w:ascii="Source Han Sans SC" w:eastAsia="思源黑体" w:hAnsi="Source Han Sans SC" w:cs="Source Han Sans SC"/>
      <w:sz w:val="24"/>
    </w:rPr>
  </w:style>
  <w:style w:type="paragraph" w:styleId="Heading1">
    <w:name w:val="heading 1"/>
    <w:basedOn w:val="Normal"/>
    <w:next w:val="Normal"/>
    <w:pPr>
      <w:keepNext/>
      <w:keepLines/>
      <w:spacing w:before="0" w:after="200"/>
      <w:jc w:val="left"/>
      <w:outlineLvl w:val="0"/>
    </w:pPr>
    <w:rPr>
      <w:rFonts w:ascii="Source Han Sans SC" w:eastAsia="思源黑体" w:hAnsi="Source Han Sans SC" w:cs="Source Han Sans SC"/>
      <w:b/>
      <w:color w:val="000000"/>
      <w:sz w:val="40"/>
    </w:rPr>
  </w:style>
  <w:style w:type="paragraph" w:styleId="Heading2">
    <w:name w:val="heading 2"/>
    <w:basedOn w:val="Normal"/>
    <w:next w:val="Normal"/>
    <w:pPr>
      <w:keepNext/>
      <w:keepLines/>
      <w:spacing w:before="0" w:after="200"/>
      <w:outlineLvl w:val="1"/>
    </w:pPr>
    <w:rPr>
      <w:rFonts w:ascii="Source Han Sans SC" w:eastAsia="思源黑体" w:hAnsi="Source Han Sans SC" w:cs="Source Han Sans SC"/>
      <w:b/>
      <w:color w:val="000000"/>
      <w:sz w:val="36"/>
    </w:rPr>
  </w:style>
  <w:style w:type="paragraph" w:styleId="Subtitle">
    <w:name w:val="副标题"/>
    <w:basedOn w:val="Normal"/>
    <w:next w:val="Normal"/>
    <w:pPr>
      <w:spacing w:before="0" w:after="160"/>
      <w:jc w:val="center"/>
    </w:pPr>
    <w:rPr>
      <w:rFonts w:ascii="Calibri" w:eastAsia="思源黑体" w:hAnsi="Calibri" w:cs="Calibri"/>
      <w:i/>
      <w:color w:val="7030A0"/>
      <w:sz w:val="30"/>
    </w:rPr>
  </w:style>
  <w:style w:type="character" w:styleId="CodeChar">
    <w:name w:val="代码字符"/>
    <w:rPr>
      <w:rFonts w:ascii="Consolas" w:eastAsia="Consolas" w:hAnsi="Consolas" w:cs="Consolas"/>
      <w:sz w:val="18"/>
    </w:rPr>
  </w:style>
  <w:style w:type="paragraph" w:styleId="Heading7">
    <w:name w:val="heading 7"/>
    <w:basedOn w:val="Normal"/>
    <w:next w:val="Normal"/>
    <w:pPr>
      <w:keepNext/>
      <w:keepLines/>
      <w:spacing w:before="120" w:after="0"/>
      <w:outlineLvl w:val="6"/>
    </w:pPr>
    <w:rPr>
      <w:color w:val="1F3763"/>
      <w:sz w:val="20"/>
    </w:rPr>
  </w:style>
  <w:style w:type="paragraph" w:styleId="CodeBlock">
    <w:name w:val="CodeBlock"/>
    <w:basedOn w:val="Normal"/>
    <w:next w:val="Normal"/>
    <w:pPr>
      <w:spacing w:before="0" w:after="0"/>
      <w:ind w:left="360"/>
    </w:pPr>
    <w:rPr>
      <w:rFonts w:ascii="Consolas" w:eastAsia="Consolas" w:hAnsi="Consolas" w:cs="Consolas"/>
      <w:sz w:val="18"/>
    </w:rPr>
  </w:style>
  <w:style w:type="paragraph" w:styleId="14">
    <w:name w:val="toc 2"/>
    <w:basedOn w:val="Normal"/>
    <w:next w:val="Normal"/>
    <w:pPr>
      <w:spacing w:after="100"/>
      <w:ind w:left="240"/>
    </w:pPr>
    <w:rPr>
      <w:rFonts w:ascii="Calibri" w:eastAsia="思源黑体" w:hAnsi="Calibri" w:cs="Times New Roman"/>
      <w:sz w:val="22"/>
    </w:rPr>
  </w:style>
  <w:style w:type="paragraph" w:styleId="Heading6">
    <w:name w:val="heading 6"/>
    <w:basedOn w:val="Normal"/>
    <w:next w:val="Normal"/>
    <w:pPr>
      <w:keepNext/>
      <w:keepLines/>
      <w:spacing w:before="0" w:after="200"/>
      <w:outlineLvl w:val="5"/>
    </w:pPr>
    <w:rPr>
      <w:rFonts w:ascii="Source Han Sans SC" w:eastAsia="思源黑体" w:hAnsi="Source Han Sans SC" w:cs="Source Han Sans SC"/>
      <w:b/>
      <w:color w:val="000000"/>
      <w:sz w:val="20"/>
    </w:rPr>
  </w:style>
  <w:style w:type="paragraph" w:styleId="Heading8">
    <w:name w:val="heading 8"/>
    <w:basedOn w:val="Normal"/>
    <w:next w:val="Normal"/>
    <w:pPr>
      <w:keepNext/>
      <w:keepLines/>
      <w:spacing w:before="120" w:after="0"/>
      <w:outlineLvl w:val="7"/>
    </w:pPr>
    <w:rPr>
      <w:i/>
      <w:color w:val="272727"/>
      <w:sz w:val="20"/>
    </w:rPr>
  </w:style>
  <w:style w:type="paragraph" w:styleId="Heading9">
    <w:name w:val="heading 9"/>
    <w:basedOn w:val="Normal"/>
    <w:next w:val="Normal"/>
    <w:pPr>
      <w:keepNext/>
      <w:keepLines/>
      <w:spacing w:before="120" w:after="0"/>
      <w:outlineLvl w:val="8"/>
    </w:pPr>
    <w:rPr>
      <w:color w:val="272727"/>
      <w:sz w:val="18"/>
    </w:rPr>
  </w:style>
  <w:style w:type="paragraph" w:styleId="15">
    <w:name w:val="toc 3"/>
    <w:basedOn w:val="Normal"/>
    <w:next w:val="Normal"/>
    <w:pPr>
      <w:spacing w:after="100"/>
      <w:ind w:left="480"/>
    </w:pPr>
    <w:rPr>
      <w:rFonts w:ascii="Calibri" w:eastAsia="思源黑体" w:hAnsi="Calibri" w:cs="Times New Roman"/>
      <w:sz w:val="22"/>
    </w:rPr>
  </w:style>
  <w:style w:type="paragraph" w:styleId="19">
    <w:name w:val="toc 7"/>
    <w:basedOn w:val="Normal"/>
    <w:next w:val="Normal"/>
    <w:pPr>
      <w:spacing w:after="100"/>
      <w:ind w:left="1680"/>
    </w:pPr>
    <w:rPr>
      <w:rFonts w:ascii="Calibri" w:eastAsia="思源黑体" w:hAnsi="Calibri" w:cs="Times New Roman"/>
      <w:sz w:val="22"/>
    </w:rPr>
  </w:style>
  <w:style w:type="paragraph" w:styleId="Quote">
    <w:name w:val="Quote"/>
    <w:basedOn w:val="Normal"/>
    <w:next w:val="Normal"/>
    <w:pPr>
      <w:spacing w:before="0" w:after="120"/>
      <w:ind w:left="300"/>
    </w:pPr>
    <w:rPr>
      <w:rFonts w:ascii="Source Han Sans SC" w:eastAsia="思源黑体" w:hAnsi="Source Han Sans SC" w:cs="Source Han Sans SC"/>
      <w:sz w:val="24"/>
    </w:rPr>
  </w:style>
  <w:style w:type="paragraph" w:styleId="Heading5">
    <w:name w:val="heading 5"/>
    <w:basedOn w:val="Normal"/>
    <w:next w:val="Normal"/>
    <w:pPr>
      <w:keepNext/>
      <w:keepLines/>
      <w:spacing w:before="0" w:after="200"/>
      <w:outlineLvl w:val="4"/>
    </w:pPr>
    <w:rPr>
      <w:rFonts w:ascii="Source Han Sans SC" w:eastAsia="思源黑体" w:hAnsi="Source Han Sans SC" w:cs="Source Han Sans SC"/>
      <w:b/>
      <w:color w:val="000000"/>
      <w:sz w:val="24"/>
    </w:rPr>
  </w:style>
  <w:style w:type="paragraph" w:styleId="Title">
    <w:name w:val="标题"/>
    <w:basedOn w:val="Normal"/>
    <w:next w:val="Normal"/>
    <w:pPr>
      <w:spacing w:before="240" w:after="60"/>
      <w:jc w:val="center"/>
    </w:pPr>
    <w:rPr>
      <w:rFonts w:ascii="Calibri Light" w:eastAsia="思源黑体" w:hAnsi="Calibri Light" w:cs="Calibri Light"/>
      <w:b/>
      <w:color w:val="2F5496"/>
      <w:sz w:val="56"/>
    </w:rPr>
  </w:style>
  <w:style w:type="paragraph" w:styleId="17">
    <w:name w:val="toc 5"/>
    <w:basedOn w:val="Normal"/>
    <w:next w:val="Normal"/>
    <w:pPr>
      <w:spacing w:after="100"/>
      <w:ind w:left="1200"/>
    </w:pPr>
    <w:rPr>
      <w:rFonts w:ascii="Calibri" w:eastAsia="思源黑体" w:hAnsi="Calibri" w:cs="Times New Roman"/>
      <w:sz w:val="22"/>
    </w:rPr>
  </w:style>
  <w:style w:type="character" w:styleId="Strong">
    <w:name w:val="加粗"/>
    <w:rPr>
      <w:b/>
    </w:rPr>
  </w:style>
  <w:style w:type="paragraph" w:styleId="Heading3">
    <w:name w:val="heading 3"/>
    <w:basedOn w:val="Normal"/>
    <w:next w:val="Normal"/>
    <w:pPr>
      <w:keepNext/>
      <w:keepLines/>
      <w:spacing w:before="0" w:after="200"/>
      <w:outlineLvl w:val="2"/>
    </w:pPr>
    <w:rPr>
      <w:rFonts w:ascii="Source Han Sans SC" w:eastAsia="思源黑体" w:hAnsi="Source Han Sans SC" w:cs="Source Han Sans SC"/>
      <w:b/>
      <w:color w:val="000000"/>
      <w:sz w:val="32"/>
    </w:rPr>
  </w:style>
  <w:style w:type="paragraph" w:styleId="ListParagraph">
    <w:name w:val="List Paragraph"/>
    <w:basedOn w:val="Normal"/>
    <w:next w:val="Normal"/>
    <w:pPr>
      <w:spacing w:before="0" w:after="100"/>
      <w:jc w:val="left"/>
    </w:pPr>
  </w:style>
  <w:style w:type="table" w:styleId="a1" w:default="true">
    <w:name w:val="Normal Table"/>
    <w:tblPr>
      <w:tblInd w:w="0" w:type="dxa"/>
      <w:tblCellMar>
        <w:top w:w="0" w:type="dxa"/>
        <w:left w:w="108" w:type="dxa"/>
        <w:bottom w:w="0" w:type="dxa"/>
        <w:right w:w="108" w:type="dxa"/>
      </w:tblCellMar>
    </w:tblPr>
  </w:style>
  <w:style w:type="paragraph" w:styleId="Heading4">
    <w:name w:val="heading 4"/>
    <w:basedOn w:val="Normal"/>
    <w:next w:val="Normal"/>
    <w:pPr>
      <w:keepNext/>
      <w:keepLines/>
      <w:spacing w:before="0" w:after="200"/>
      <w:outlineLvl w:val="3"/>
    </w:pPr>
    <w:rPr>
      <w:rFonts w:ascii="Source Han Sans SC" w:eastAsia="思源黑体" w:hAnsi="Source Han Sans SC" w:cs="Source Han Sans SC"/>
      <w:b/>
      <w:color w:val="000000"/>
      <w:sz w:val="28"/>
    </w:rPr>
  </w:style>
  <w:style w:type="paragraph" w:styleId="13">
    <w:name w:val="toc 1"/>
    <w:basedOn w:val="Normal"/>
    <w:next w:val="Normal"/>
    <w:pPr>
      <w:spacing w:after="100"/>
      <w:ind w:left="0"/>
    </w:pPr>
    <w:rPr>
      <w:rFonts w:ascii="Calibri" w:eastAsia="思源黑体" w:hAnsi="Calibri" w:cs="Times New Roman"/>
      <w:sz w:val="22"/>
    </w:rPr>
  </w:style>
  <w:style w:type="paragraph" w:styleId="16">
    <w:name w:val="toc 4"/>
    <w:basedOn w:val="Normal"/>
    <w:next w:val="Normal"/>
    <w:pPr>
      <w:spacing w:after="100"/>
      <w:ind w:left="960"/>
    </w:pPr>
    <w:rPr>
      <w:rFonts w:ascii="Calibri" w:eastAsia="思源黑体" w:hAnsi="Calibri" w:cs="Times New Roman"/>
      <w:sz w:val="22"/>
    </w:rPr>
  </w:style>
  <w:style w:type="paragraph" w:styleId="18">
    <w:name w:val="toc 6"/>
    <w:basedOn w:val="Normal"/>
    <w:next w:val="Normal"/>
    <w:pPr>
      <w:spacing w:after="100"/>
      <w:ind w:left="1440"/>
    </w:pPr>
    <w:rPr>
      <w:rFonts w:ascii="Calibri" w:eastAsia="思源黑体" w:hAnsi="Calibri" w:cs="Times New Roman"/>
      <w:sz w:val="22"/>
    </w:rPr>
  </w:style>
  <w:style w:type="character" w:styleId="Emphasis">
    <w:name w:val="强调"/>
    <w:rPr>
      <w:i/>
    </w:rPr>
  </w:style>
  <w:style w:type="paragraph" w:styleId="Figure">
    <w:name w:val="Figure"/>
    <w:basedOn w:val="Normal"/>
    <w:next w:val="FigureCaption"/>
    <w:pPr>
      <w:keepNext/>
      <w:keepLines/>
      <w:spacing w:before="240" w:after="0"/>
    </w:pPr>
    <w:rPr>
      <w:rFonts w:ascii="Source Han Sans SC" w:eastAsia="思源黑体" w:hAnsi="Source Han Sans SC" w:cs="Source Han Sans SC"/>
      <w:sz w:val="24"/>
    </w:rPr>
  </w:style>
  <w:style w:type="paragraph" w:styleId="20">
    <w:name w:val="toc 8"/>
    <w:basedOn w:val="Normal"/>
    <w:next w:val="Normal"/>
    <w:pPr>
      <w:spacing w:after="100"/>
      <w:ind w:left="1920"/>
    </w:pPr>
    <w:rPr>
      <w:rFonts w:ascii="Calibri" w:eastAsia="思源黑体" w:hAnsi="Calibri" w:cs="Times New Roman"/>
      <w:sz w:val="22"/>
    </w:rPr>
  </w:style>
  <w:style w:type="paragraph" w:styleId="12">
    <w:name w:val="TOCHeading"/>
    <w:basedOn w:val="Normal"/>
    <w:next w:val="Normal"/>
    <w:pPr>
      <w:spacing w:before="240" w:after="120"/>
      <w:jc w:val="center"/>
    </w:pPr>
    <w:rPr>
      <w:rFonts w:ascii="Calibri" w:eastAsia="思源黑体" w:hAnsi="Calibri" w:cs="Times New Roman"/>
      <w:b/>
      <w:sz w:val="26"/>
    </w:rPr>
  </w:style>
  <w:style w:type="paragraph" w:styleId="21">
    <w:name w:val="toc 9"/>
    <w:basedOn w:val="Normal"/>
    <w:next w:val="Normal"/>
    <w:pPr>
      <w:spacing w:after="100"/>
      <w:ind w:left="2160"/>
    </w:pPr>
    <w:rPr>
      <w:rFonts w:ascii="Calibri" w:eastAsia="思源黑体" w:hAnsi="Calibri" w:cs="Times New Roman"/>
      <w:sz w:val="22"/>
    </w:rPr>
  </w:style>
  <w:style w:type="table" w:styleId="a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igureCaption">
    <w:name w:val="Figure Caption"/>
    <w:basedOn w:val="Normal"/>
    <w:next w:val="Normal"/>
    <w:pPr>
      <w:keepLines/>
      <w:spacing w:before="0" w:after="120"/>
    </w:pPr>
    <w:rPr>
      <w:rFonts w:ascii="Source Han Sans SC" w:eastAsia="思源黑体" w:hAnsi="Source Han Sans SC" w:cs="Source Han Sans SC"/>
      <w:i/>
      <w:sz w:val="24"/>
    </w:rPr>
  </w:style>
</w:styles>
</file>

<file path=word/_rels/document.xml.rels><?xml version="1.0" encoding="UTF-8"?>
<Relationships xmlns="http://schemas.openxmlformats.org/package/2006/relationships">
  <Relationship Id="rId1" Type="http://schemas.openxmlformats.org/officeDocument/2006/relationships/styles" Target="styles.xml"></Relationship>
  <Relationship Id="rId2" Type="http://schemas.openxmlformats.org/officeDocument/2006/relationships/image" Target="media/fig_shanghai_coverage_1.jpeg"></Relationship>
  <Relationship Id="rId3" Type="http://schemas.openxmlformats.org/officeDocument/2006/relationships/image" Target="media/fig_kl_evidence_2.jpeg"></Relationship>
</Relationship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{"Label":"1","ContentProducer":"001191440300708461136T1WFUO","ProduceID":"daf34fe1cda1e043244da768c8f9b1a7-Lkd4_上海与吉隆坡特殊职业教育培训就业转衔比较论文.docx","ReservedCode1":"{\"Type\":\" TC260PG\",\"Version\":1,\"Bindings\":[{\"Type\":\"soft\",\"AlgID\":\"sm3\",\"Value\":\"d0d3460c15527486841c2ac7b0e054db2eeb20c510c9705e9c307e005324ad19\"},{\"Type\":\"hash\",\"AlgID\":\"sm3\",\"Value\":\"302e1d0226c1f592d8c8f9a47180f5f019af78660002242d64558bfceebf44f7\"}],\"PubSD\":[{\"Type\":\"DS\",\"AlgID\":\"sm2\",\"TBSData\":{\"Type\":\"Binding\",\"BType\":\"hash\"},\"Signature\":\"3045022100c24dd647738504e0127b22a9ba8dbc1a55529749d70e0baa62be5c162995210e022010b20d2ed63b8b8c14991d5dc8159954f231a178705f2be0f7147b75473b89c5\"},{\"Type\":\"PubKey\",\"AlgID\":\"sm2\",\"KeyValue\":\"0407f79b28a17a752b3aae4305c98b48978213832729a2571850b1310b2bc9fe8fee039ccf25ebfeac27502414d9fcef792d777183c98893d226171c2f7a3289a2\"}],\"Extension\":{\"Timestamp\":1790489154,\"KeyVersion\":\"v1-TxLeOmf7bqU223\"}}","ContentPropagator":"001191440300708461136T1WFUO","PropagateID":"上海与吉隆坡特殊职业教育培训就业转衔比较论文.docx","ReservedCode2":"{\"Type\":\" TC260PG\",\"Version\":1,\"Bindings\":[{\"Type\":\"soft\",\"AlgID\":\"sm3\",\"Value\":\"d0d3460c15527486841c2ac7b0e054db2eeb20c510c9705e9c307e005324ad19\"},{\"Type\":\"hash\",\"AlgID\":\"sm3\",\"Value\":\"ba957b5ce5994d641f34f90fe6e20d999fd4273899a9773c43b59c587c25646c\"}],\"PubSD\":[{\"Type\":\"DS\",\"AlgID\":\"sm2\",\"TBSData\":{\"Type\":\"Binding\",\"BType\":\"hash\"},\"Signature\":\"304502201784a126096efb42b957f957e4fe432a6c49cf4e7135a0ef84fa6ec378e335b1022100abc33ed483ae7872dd37d8d541fa05495ebbac988df53d2f1ede3081cfb243bf\"},{\"Type\":\"PubKey\",\"AlgID\":\"sm2\",\"KeyValue\":\"0407f79b28a17a752b3aae4305c98b48978213832729a2571850b1310b2bc9fe8fee039ccf25ebfeac27502414d9fcef792d777183c98893d226171c2f7a3289a2\"}],\"Extension\":{\"Timestamp\":1790489154,\"KeyVersion\":\"v1-TxLeOmf7bqU223\"}}"}</vt:lpwstr>
  </property>
</Properties>
</file>