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docProps/custom.xml" ContentType="application/vnd.openxmlformats-officedocument.custom-properties+xml"/>
</Types>
</file>

<file path=_rels/.rels><?xml version="1.0" encoding="UTF-8"?>
<Relationships xmlns="http://schemas.openxmlformats.org/package/2006/relationships">
  <Relationship Id="rId1" Type="http://schemas.openxmlformats.org/officeDocument/2006/relationships/officeDocument" Target="word/document.xml"></Relationship>
  <Relationship Id="rId2" Type="http://schemas.openxmlformats.org/officeDocument/2006/relationships/custom-properties" Target="docProps/custom.xml"></Relationship>
</Relationships>
</file>

<file path=word/document.xml><?xml version="1.0" encoding="utf-8"?>
<w:document xmlns:w="http://schemas.openxmlformats.org/wordprocessingml/2006/main" xmlns:w15="http://schemas.microsoft.com/office/word/2012/wordml" xmlns:wp="http://schemas.openxmlformats.org/drawingml/2006/wordprocessingDrawing" xmlns:a="http://schemas.openxmlformats.org/drawingml/2006/main" xmlns:pic="http://schemas.openxmlformats.org/drawingml/2006/picture" xmlns:r="http://schemas.openxmlformats.org/officeDocument/2006/relationships">
  <w:body>
    <w:p>
      <w:pPr>
        <w:pStyle w:val="Heading1"/>
        <w:spacing w:before="0" w:after="200"/>
        <w:jc w:val="left"/>
      </w:pPr>
      <w:r>
        <w:rPr>
          <w:b/>
          <w:sz w:val="40"/>
        </w:rPr>
        <w:t xml:space="preserve">从课堂到岗位并非自动升级：上海与吉隆坡大都市区特殊需要学生职业教育体系比较</w:t>
      </w:r>
    </w:p>
    <w:p>
      <w:pPr>
        <w:pStyle w:val="Heading2"/>
        <w:spacing w:before="0" w:after="200"/>
      </w:pPr>
      <w:r>
        <w:rPr>
          <w:b/>
          <w:sz w:val="36"/>
        </w:rPr>
        <w:t xml:space="preserve">摘要：两地制度成熟度不可直接比较，吉隆坡六案均缺可审计证据</w:t>
      </w:r>
    </w:p>
    <w:p>
      <w:r>
        <w:rPr/>
        <w:t xml:space="preserve">截至2026年6月26日，上海的公开制度与学校实践已能呈现一条相对清晰、但仍需结果数据检验的路径：中学后特殊职业教育以个别化课程、真实岗位实训和跨部门就业服务为支点；奉贤中等专业学校则以烹饪与营养膳食专业、四年学制、“心源小舍”及社区见习构成具体案例。与之相比，马来西亚联邦直辖区吉隆坡（Federal Territory of Kuala Lumpur）、雪兰莪州（Selangor）和大吉隆坡（Greater Kuala Lumpur）常被混用，但三者并非同一行政单元。莎阿南（Shah</w:t>
      </w:r>
      <w:r>
        <w:rPr/>
        <w:t xml:space="preserve"> Alam）位于雪兰莪州，不能因其在巴生谷内便被归入吉隆坡联邦直辖区。</w:t>
      </w:r>
    </w:p>
    <w:p>
      <w:pPr>
        <w:spacing w:after="200"/>
      </w:pPr>
      <w:r>
        <w:t xml:space="preserve"> </w:t>
      </w:r>
    </w:p>
    <w:p>
      <w:r>
        <w:rPr/>
        <w:t xml:space="preserve">SMPKV Shah Alam、SAMH Wisma Harapan、Bengkel Daya、PLPP、PPKI—TVET—SKM—PTK—Job Coach这六项案例，在本次公开检索中均未获得足以核验其地点、资质、课程、资格、就业安置或岗位结果的官方、同行评议证据。因此，不能认定它们均位于吉隆坡、均已取得Sijil Kemahiran</w:t>
      </w:r>
      <w:r>
        <w:rPr/>
        <w:t xml:space="preserve"> Malaysia（SKM），也不能把培训完成、实习参与、就业安置或庇护性工作等同于开放劳动力市场中的竞争性就业。</w:t>
      </w:r>
    </w:p>
    <w:p>
      <w:pPr>
        <w:spacing w:after="200"/>
      </w:pPr>
      <w:r>
        <w:t xml:space="preserve"> </w:t>
      </w:r>
    </w:p>
    <w:p>
      <w:r>
        <w:rPr/>
        <w:t xml:space="preserve">两地的真正差距，不只在于资源多寡，还在于中间环节的透明度：上海的明确制度、课程规定和跨部门服务构成值得借鉴的基础；吉隆坡则更需要统一的学生与项目编码、标准化结果指标和可审计的案例档案。若没有这些基础设施，学校数量、培训人次、证书数量或机构宣传均无法转化为对“谁获得何种工作、持续多久、收入与工作质量如何”的有效回答。</w:t>
      </w:r>
    </w:p>
    <w:p>
      <w:pPr>
        <w:spacing w:after="200"/>
      </w:pPr>
      <w:r>
        <w:t xml:space="preserve"> </w:t>
      </w:r>
    </w:p>
    <w:p>
      <w:pPr>
        <w:pStyle w:val="Heading2"/>
        <w:spacing w:before="0" w:after="200"/>
      </w:pPr>
      <w:r>
        <w:rPr>
          <w:b/>
          <w:sz w:val="36"/>
        </w:rPr>
        <w:t xml:space="preserve">一、只有先划清行政边界，吉隆坡案例才能避免被“大都市区”概念吞没</w:t>
      </w:r>
    </w:p>
    <w:p>
      <w:r>
        <w:rPr>
          <w:b/>
        </w:rPr>
        <w:t xml:space="preserve">“吉隆坡”不是单一的行政或地理标签，而是一个至少包含三个尺度的研究对象。</w:t>
      </w:r>
      <w:r>
        <w:rPr/>
        <w:t xml:space="preserve"> 吉隆坡联邦直辖区是联邦政府直接管辖的首都行政区；雪兰莪州是吉隆坡周围的一级州，莎阿南为其首府；大吉隆坡则通常是规划、经济和基础设施意义上的城市区域，常被理解为巴生河谷（Klang</w:t>
      </w:r>
      <w:r>
        <w:rPr/>
        <w:t xml:space="preserve"> Valley）的一部分。三者可以发生空间重叠，却不可互相替代。</w:t>
      </w:r>
    </w:p>
    <w:p>
      <w:pPr>
        <w:spacing w:after="200"/>
      </w:pPr>
      <w:r>
        <w:t xml:space="preserve"> </w:t>
      </w:r>
    </w:p>
    <w:p>
      <w:r>
        <w:rPr/>
        <w:t xml:space="preserve">本研究采用最窄的操作性定义：只有明确位于吉隆坡联邦直辖区边界内的项目，才计入“吉隆坡案例”；位于莎阿南、八打灵再也（Petaling</w:t>
      </w:r>
      <w:r>
        <w:rPr/>
        <w:t xml:space="preserve"> Jaya）、梳邦（Subang）等地的项目，应标明为“雪兰莪—大吉隆坡都市区”，而不能写成“吉隆坡项目”。这一区分不只是名称校正，也直接影响地方教育、残障、技能与就业责任归属的解释。</w:t>
      </w:r>
    </w:p>
    <w:p>
      <w:pPr>
        <w:spacing w:after="200"/>
      </w:pPr>
      <w:r>
        <w:t xml:space="preserve"> </w:t>
      </w:r>
    </w:p>
    <w:p>
      <w:r>
        <w:rPr/>
        <w:t xml:space="preserve">上海市奉贤区的位置较为明确。上海市辖16区，奉贤区位于上海市南部；奉贤中等专业学校因此构成上海市级制度下的区级案例，而不是覆盖全市的代表性样本。两地共同面对的核心分析难题是尺度错配：全国或全州政策无法证明某一区内确有可访问的课程，区级项目亦不足以代表整个城市或全国体系。</w:t>
      </w:r>
    </w:p>
    <w:p>
      <w:pPr>
        <w:spacing w:after="200"/>
      </w:pPr>
      <w:r>
        <w:t xml:space="preserve"> </w:t>
      </w:r>
    </w:p>
    <w:p>
      <w:r>
        <w:rPr>
          <w:b/>
        </w:rPr>
        <w:t xml:space="preserve">地理尺度必须服务于责任归属，而不是被大都市区的便利叙事遮蔽。</w:t>
      </w:r>
      <w:r>
        <w:rPr/>
        <w:t xml:space="preserve"> 吉隆坡与巴生谷拥有较强的经济、交通和社会联系，因此用“大吉隆坡”讨论劳动力市场确有解释力。但若讨论行政许可、学校所属教育局、残障登记、技能资格认证或就业安置责任，就必须回到具体辖区。</w:t>
      </w:r>
    </w:p>
    <w:p>
      <w:pPr>
        <w:spacing w:after="200"/>
      </w:pPr>
      <w:r>
        <w:t xml:space="preserve"> </w:t>
      </w:r>
    </w:p>
    <w:p>
      <w:r>
        <w:rPr/>
        <w:t xml:space="preserve">因此，本研究的三级口径如下：</w:t>
      </w:r>
    </w:p>
    <w:p>
      <w:pPr>
        <w:spacing w:after="240"/>
      </w:pPr>
      <w:r>
        <w:t xml:space="preserve"> </w:t>
      </w:r>
    </w:p>
    <w:tbl>
      <w:tblPr>
        <w:tblW w:w="9025" w:type="dxa"/>
        <w:tblLook w:val="04A0" w:firstRow="1" w:lastRow="0" w:firstColumn="1" w:lastColumn="0" w:noHBand="0" w:noVBand="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20" w:type="dxa"/>
          <w:bottom w:w="80" w:type="dxa"/>
          <w:right w:w="120" w:type="dxa"/>
        </w:tblCellMar>
        <w:tblLayout w:type="fixed"/>
      </w:tblPr>
      <w:tblGrid>
        <w:gridCol w:w="2578"/>
        <w:gridCol w:w="3438"/>
        <w:gridCol w:w="3008"/>
      </w:tblGrid>
      <w:tr>
        <w:trPr>
          <w:tblHeader w:val="1"/>
        </w:trPr>
        <w:tc>
          <w:tcPr>
            <w:tcW w:w="2578" w:type="dxa"/>
            <w:vAlign w:val="center"/>
          </w:tcPr>
          <w:p>
            <w:pPr>
              <w:jc w:val="left"/>
            </w:pPr>
            <w:r>
              <w:rPr>
                <w:b/>
                <w:sz w:val="24"/>
              </w:rPr>
              <w:t xml:space="preserve">尺度</w:t>
            </w:r>
          </w:p>
        </w:tc>
        <w:tc>
          <w:tcPr>
            <w:tcW w:w="3438" w:type="dxa"/>
            <w:vAlign w:val="center"/>
          </w:tcPr>
          <w:p>
            <w:pPr>
              <w:jc w:val="left"/>
            </w:pPr>
            <w:r>
              <w:rPr>
                <w:b/>
                <w:sz w:val="24"/>
              </w:rPr>
              <w:t xml:space="preserve">可讨论的问题</w:t>
            </w:r>
          </w:p>
        </w:tc>
        <w:tc>
          <w:tcPr>
            <w:tcW w:w="3008" w:type="dxa"/>
            <w:vAlign w:val="center"/>
          </w:tcPr>
          <w:p>
            <w:pPr>
              <w:jc w:val="left"/>
            </w:pPr>
            <w:r>
              <w:rPr>
                <w:b/>
                <w:sz w:val="24"/>
              </w:rPr>
              <w:t xml:space="preserve">不可由此直接推出的结论</w:t>
            </w:r>
          </w:p>
        </w:tc>
      </w:tr>
      <w:tr>
        <w:tc>
          <w:tcPr>
            <w:tcW w:w="2578" w:type="dxa"/>
            <w:vAlign w:val="center"/>
          </w:tcPr>
          <w:p>
            <w:pPr>
              <w:jc w:val="left"/>
            </w:pPr>
            <w:r>
              <w:rPr>
                <w:sz w:val="24"/>
              </w:rPr>
              <w:t xml:space="preserve">吉隆坡联邦直辖区</w:t>
            </w:r>
          </w:p>
        </w:tc>
        <w:tc>
          <w:tcPr>
            <w:tcW w:w="3438" w:type="dxa"/>
            <w:vAlign w:val="center"/>
          </w:tcPr>
          <w:p>
            <w:pPr>
              <w:jc w:val="left"/>
            </w:pPr>
            <w:r>
              <w:rPr>
                <w:sz w:val="24"/>
              </w:rPr>
              <w:t xml:space="preserve">特定学校、机构或项目的辖区归属</w:t>
            </w:r>
          </w:p>
        </w:tc>
        <w:tc>
          <w:tcPr>
            <w:tcW w:w="3008" w:type="dxa"/>
            <w:vAlign w:val="center"/>
          </w:tcPr>
          <w:p>
            <w:pPr>
              <w:jc w:val="left"/>
            </w:pPr>
            <w:r>
              <w:rPr>
                <w:sz w:val="24"/>
              </w:rPr>
              <w:t xml:space="preserve">不能代表雪兰莪州或整个巴生谷</w:t>
            </w:r>
          </w:p>
        </w:tc>
      </w:tr>
      <w:tr>
        <w:tc>
          <w:tcPr>
            <w:tcW w:w="2578" w:type="dxa"/>
            <w:vAlign w:val="center"/>
          </w:tcPr>
          <w:p>
            <w:pPr>
              <w:jc w:val="left"/>
            </w:pPr>
            <w:r>
              <w:rPr>
                <w:sz w:val="24"/>
              </w:rPr>
              <w:t xml:space="preserve">雪兰莪州及大吉隆坡都市区</w:t>
            </w:r>
          </w:p>
        </w:tc>
        <w:tc>
          <w:tcPr>
            <w:tcW w:w="3438" w:type="dxa"/>
            <w:vAlign w:val="center"/>
          </w:tcPr>
          <w:p>
            <w:pPr>
              <w:jc w:val="left"/>
            </w:pPr>
            <w:r>
              <w:rPr>
                <w:sz w:val="24"/>
              </w:rPr>
              <w:t xml:space="preserve">跨辖区通勤、劳动力市场和服务覆盖</w:t>
            </w:r>
          </w:p>
        </w:tc>
        <w:tc>
          <w:tcPr>
            <w:tcW w:w="3008" w:type="dxa"/>
            <w:vAlign w:val="center"/>
          </w:tcPr>
          <w:p>
            <w:pPr>
              <w:jc w:val="left"/>
            </w:pPr>
            <w:r>
              <w:rPr>
                <w:sz w:val="24"/>
              </w:rPr>
              <w:t xml:space="preserve">不能直接归入吉隆坡联邦直辖区</w:t>
            </w:r>
          </w:p>
        </w:tc>
      </w:tr>
      <w:tr>
        <w:tc>
          <w:tcPr>
            <w:tcW w:w="2578" w:type="dxa"/>
            <w:vAlign w:val="center"/>
          </w:tcPr>
          <w:p>
            <w:pPr>
              <w:jc w:val="left"/>
            </w:pPr>
            <w:r>
              <w:rPr>
                <w:sz w:val="24"/>
              </w:rPr>
              <w:t xml:space="preserve">上海奉贤区</w:t>
            </w:r>
          </w:p>
        </w:tc>
        <w:tc>
          <w:tcPr>
            <w:tcW w:w="3438" w:type="dxa"/>
            <w:vAlign w:val="center"/>
          </w:tcPr>
          <w:p>
            <w:pPr>
              <w:jc w:val="left"/>
            </w:pPr>
            <w:r>
              <w:rPr>
                <w:sz w:val="24"/>
              </w:rPr>
              <w:t xml:space="preserve">区级特殊职业教育实践和跨部门衔接</w:t>
            </w:r>
          </w:p>
        </w:tc>
        <w:tc>
          <w:tcPr>
            <w:tcW w:w="3008" w:type="dxa"/>
            <w:vAlign w:val="center"/>
          </w:tcPr>
          <w:p>
            <w:pPr>
              <w:jc w:val="left"/>
            </w:pPr>
            <w:r>
              <w:rPr>
                <w:sz w:val="24"/>
              </w:rPr>
              <w:t xml:space="preserve">不能外推为上海全市就业率</w:t>
            </w:r>
          </w:p>
        </w:tc>
      </w:tr>
    </w:tbl>
    <w:p>
      <w:pPr>
        <w:spacing w:before="240"/>
      </w:pPr>
      <w:r>
        <w:t xml:space="preserve"> </w:t>
      </w:r>
    </w:p>
    <w:p>
      <w:r>
        <w:rPr>
          <w:b/>
        </w:rPr>
        <w:t xml:space="preserve">“案例无法核验”不是结论缺失，而是一种必须明确呈现的证据状态。</w:t>
      </w:r>
      <w:r>
        <w:rPr/>
        <w:t xml:space="preserve"> 本次检索截至2026年6月26日，覆盖政府、教育机构和技能主管机关的公开页面，以及英文同行评议文献。检索词包括完整的问题表述、马来西亚制度术语及六个案例名称；但对若干名称采用精确短语检索时，未取得可确认的机构官网、政府注册文件、课程表、资格批准文件或就业结果资料。</w:t>
      </w:r>
    </w:p>
    <w:p>
      <w:pPr>
        <w:spacing w:after="200"/>
      </w:pPr>
      <w:r>
        <w:t xml:space="preserve"> </w:t>
      </w:r>
    </w:p>
    <w:p>
      <w:r>
        <w:rPr/>
        <w:t xml:space="preserve">证据分级如下：</w:t>
      </w:r>
    </w:p>
    <w:p>
      <w:pPr>
        <w:spacing w:after="240"/>
      </w:pPr>
      <w:r>
        <w:t xml:space="preserve"> </w:t>
      </w:r>
    </w:p>
    <w:tbl>
      <w:tblPr>
        <w:tblW w:w="9025" w:type="dxa"/>
        <w:tblLook w:val="04A0" w:firstRow="1" w:lastRow="0" w:firstColumn="1" w:lastColumn="0" w:noHBand="0" w:noVBand="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20" w:type="dxa"/>
          <w:bottom w:w="80" w:type="dxa"/>
          <w:right w:w="120" w:type="dxa"/>
        </w:tblCellMar>
        <w:tblLayout w:type="fixed"/>
      </w:tblPr>
      <w:tblGrid>
        <w:gridCol w:w="1353"/>
        <w:gridCol w:w="3180"/>
        <w:gridCol w:w="4490"/>
      </w:tblGrid>
      <w:tr>
        <w:trPr>
          <w:tblHeader w:val="1"/>
        </w:trPr>
        <w:tc>
          <w:tcPr>
            <w:tcW w:w="1353" w:type="dxa"/>
            <w:vAlign w:val="center"/>
          </w:tcPr>
          <w:p>
            <w:pPr>
              <w:jc w:val="left"/>
            </w:pPr>
            <w:r>
              <w:rPr>
                <w:b/>
                <w:sz w:val="24"/>
              </w:rPr>
              <w:t xml:space="preserve">等级</w:t>
            </w:r>
          </w:p>
        </w:tc>
        <w:tc>
          <w:tcPr>
            <w:tcW w:w="3180" w:type="dxa"/>
            <w:vAlign w:val="center"/>
          </w:tcPr>
          <w:p>
            <w:pPr>
              <w:jc w:val="left"/>
            </w:pPr>
            <w:r>
              <w:rPr>
                <w:b/>
                <w:sz w:val="24"/>
              </w:rPr>
              <w:t xml:space="preserve">证据标准</w:t>
            </w:r>
          </w:p>
        </w:tc>
        <w:tc>
          <w:tcPr>
            <w:tcW w:w="4490" w:type="dxa"/>
            <w:vAlign w:val="center"/>
          </w:tcPr>
          <w:p>
            <w:pPr>
              <w:jc w:val="left"/>
            </w:pPr>
            <w:r>
              <w:rPr>
                <w:b/>
                <w:sz w:val="24"/>
              </w:rPr>
              <w:t xml:space="preserve">可支持的判断</w:t>
            </w:r>
          </w:p>
        </w:tc>
      </w:tr>
      <w:tr>
        <w:tc>
          <w:tcPr>
            <w:tcW w:w="1353" w:type="dxa"/>
            <w:vAlign w:val="center"/>
          </w:tcPr>
          <w:p>
            <w:pPr>
              <w:jc w:val="left"/>
            </w:pPr>
            <w:r>
              <w:rPr>
                <w:sz w:val="24"/>
              </w:rPr>
              <w:t xml:space="preserve">A级</w:t>
            </w:r>
          </w:p>
        </w:tc>
        <w:tc>
          <w:tcPr>
            <w:tcW w:w="3180" w:type="dxa"/>
            <w:vAlign w:val="center"/>
          </w:tcPr>
          <w:p>
            <w:pPr>
              <w:jc w:val="left"/>
            </w:pPr>
            <w:r>
              <w:rPr>
                <w:sz w:val="24"/>
              </w:rPr>
              <w:t xml:space="preserve">政府或教育机构一手文件</w:t>
            </w:r>
          </w:p>
        </w:tc>
        <w:tc>
          <w:tcPr>
            <w:tcW w:w="4490" w:type="dxa"/>
            <w:vAlign w:val="center"/>
          </w:tcPr>
          <w:p>
            <w:pPr>
              <w:jc w:val="left"/>
            </w:pPr>
            <w:r>
              <w:rPr>
                <w:sz w:val="24"/>
              </w:rPr>
              <w:t xml:space="preserve">制度规定、机构明确记载、课程与政策设计</w:t>
            </w:r>
          </w:p>
        </w:tc>
      </w:tr>
      <w:tr>
        <w:tc>
          <w:tcPr>
            <w:tcW w:w="1353" w:type="dxa"/>
            <w:vAlign w:val="center"/>
          </w:tcPr>
          <w:p>
            <w:pPr>
              <w:jc w:val="left"/>
            </w:pPr>
            <w:r>
              <w:rPr>
                <w:sz w:val="24"/>
              </w:rPr>
              <w:t xml:space="preserve">B级</w:t>
            </w:r>
          </w:p>
        </w:tc>
        <w:tc>
          <w:tcPr>
            <w:tcW w:w="3180" w:type="dxa"/>
            <w:vAlign w:val="center"/>
          </w:tcPr>
          <w:p>
            <w:pPr>
              <w:jc w:val="left"/>
            </w:pPr>
            <w:r>
              <w:rPr>
                <w:sz w:val="24"/>
              </w:rPr>
              <w:t xml:space="preserve">有现场细节的权威报道或同行评议研究</w:t>
            </w:r>
          </w:p>
        </w:tc>
        <w:tc>
          <w:tcPr>
            <w:tcW w:w="4490" w:type="dxa"/>
            <w:vAlign w:val="center"/>
          </w:tcPr>
          <w:p>
            <w:pPr>
              <w:jc w:val="left"/>
            </w:pPr>
            <w:r>
              <w:rPr>
                <w:sz w:val="24"/>
              </w:rPr>
              <w:t xml:space="preserve">特定实践曾发生，但结果仍须区分报道事实与因果推断</w:t>
            </w:r>
          </w:p>
        </w:tc>
      </w:tr>
      <w:tr>
        <w:tc>
          <w:tcPr>
            <w:tcW w:w="1353" w:type="dxa"/>
            <w:vAlign w:val="center"/>
          </w:tcPr>
          <w:p>
            <w:pPr>
              <w:jc w:val="left"/>
            </w:pPr>
            <w:r>
              <w:rPr>
                <w:sz w:val="24"/>
              </w:rPr>
              <w:t xml:space="preserve">C级</w:t>
            </w:r>
          </w:p>
        </w:tc>
        <w:tc>
          <w:tcPr>
            <w:tcW w:w="3180" w:type="dxa"/>
            <w:vAlign w:val="center"/>
          </w:tcPr>
          <w:p>
            <w:pPr>
              <w:jc w:val="left"/>
            </w:pPr>
            <w:r>
              <w:rPr>
                <w:sz w:val="24"/>
              </w:rPr>
              <w:t xml:space="preserve">机构主张</w:t>
            </w:r>
          </w:p>
        </w:tc>
        <w:tc>
          <w:tcPr>
            <w:tcW w:w="4490" w:type="dxa"/>
            <w:vAlign w:val="center"/>
          </w:tcPr>
          <w:p>
            <w:pPr>
              <w:jc w:val="left"/>
            </w:pPr>
            <w:r>
              <w:rPr>
                <w:sz w:val="24"/>
              </w:rPr>
              <w:t xml:space="preserve">可作为机构自述记录，不能升级为独立验证</w:t>
            </w:r>
          </w:p>
        </w:tc>
      </w:tr>
      <w:tr>
        <w:tc>
          <w:tcPr>
            <w:tcW w:w="1353" w:type="dxa"/>
            <w:vAlign w:val="center"/>
          </w:tcPr>
          <w:p>
            <w:pPr>
              <w:jc w:val="left"/>
            </w:pPr>
            <w:r>
              <w:rPr>
                <w:sz w:val="24"/>
              </w:rPr>
              <w:t xml:space="preserve">D级</w:t>
            </w:r>
          </w:p>
        </w:tc>
        <w:tc>
          <w:tcPr>
            <w:tcW w:w="3180" w:type="dxa"/>
            <w:vAlign w:val="center"/>
          </w:tcPr>
          <w:p>
            <w:pPr>
              <w:jc w:val="left"/>
            </w:pPr>
            <w:r>
              <w:rPr>
                <w:sz w:val="24"/>
              </w:rPr>
              <w:t xml:space="preserve">仅名称、传闻或不可定位信息</w:t>
            </w:r>
          </w:p>
        </w:tc>
        <w:tc>
          <w:tcPr>
            <w:tcW w:w="4490" w:type="dxa"/>
            <w:vAlign w:val="center"/>
          </w:tcPr>
          <w:p>
            <w:pPr>
              <w:jc w:val="left"/>
            </w:pPr>
            <w:r>
              <w:rPr>
                <w:sz w:val="24"/>
              </w:rPr>
              <w:t xml:space="preserve">不能确认地点、运行、证书或结果</w:t>
            </w:r>
          </w:p>
        </w:tc>
      </w:tr>
    </w:tbl>
    <w:p>
      <w:pPr>
        <w:spacing w:before="240"/>
      </w:pPr>
      <w:r>
        <w:t xml:space="preserve"> </w:t>
      </w:r>
    </w:p>
    <w:p>
      <w:r>
        <w:rPr/>
        <w:t xml:space="preserve">上海部分主要使用A级文件，奉贤案例同时有区级和学校教育机构的公开材料支撑。吉隆坡六案在本次检索中均未取得A级或B级可核验材料，故统一归入D级“无法核验”，而不是标记为“不存在”。</w:t>
      </w:r>
    </w:p>
    <w:p>
      <w:pPr>
        <w:spacing w:after="200"/>
      </w:pPr>
      <w:r>
        <w:t xml:space="preserve"> </w:t>
      </w:r>
    </w:p>
    <w:p>
      <w:pPr>
        <w:pStyle w:val="Heading2"/>
        <w:spacing w:before="0" w:after="200"/>
      </w:pPr>
      <w:r>
        <w:rPr>
          <w:b/>
          <w:sz w:val="36"/>
        </w:rPr>
        <w:t xml:space="preserve">二、资格、实习与就业是四道不同闸门，培训完成不能替代岗位结果</w:t>
      </w:r>
    </w:p>
    <w:p>
      <w:r>
        <w:rPr>
          <w:b/>
        </w:rPr>
        <w:t xml:space="preserve">特殊需要学生的转衔服务应被理解为由资格、实训和就业支持共同构成的条件链，而不是从学校自然滑向工作的五级阶梯。</w:t>
      </w:r>
      <w:r>
        <w:rPr/>
        <w:t xml:space="preserve"> 上海课程方案将体系拆分为公共基础、专业和康复三类课程；公共基础课程包括德育、语文、数学、英语、信息技术、体育与健康、艺术等，专业课程承担专业知识和基本技能培养，康复课程则涵盖社会技能、生活适应、情绪管理、言语沟通、运动功能康复和辅具应用（上海市教育委员会，2018）。</w:t>
      </w:r>
    </w:p>
    <w:p>
      <w:pPr>
        <w:spacing w:after="200"/>
      </w:pPr>
      <w:r>
        <w:t xml:space="preserve"> </w:t>
      </w:r>
    </w:p>
    <w:p>
      <w:pPr>
        <w:pStyle w:val="Figure"/>
      </w:pPr>
      <w:r>
        <w:t/>
        <w:drawing>
          <wp:inline distT="0" distB="0" distL="0" distR="0">
            <wp:extent cx="4752000" cy="2164849"/>
            <wp:docPr id="1" name="图片 1" descr="从训练到岗位是一条条件链，不是自动升级的五级阶梯" title="图片"/>
            <a:graphic xmlns:a="http://schemas.openxmlformats.org/drawingml/2006/main">
              <a:graphicData uri="http://schemas.openxmlformats.org/drawingml/2006/picture">
                <pic:pic xmlns:pic="http://schemas.openxmlformats.org/drawingml/2006/picture">
                  <pic:nvPicPr>
                    <pic:cNvPr id="1" name="图片 1" descr="从训练到岗位是一条条件链，不是自动升级的五级阶梯" title="图片"/>
                    <pic:cNvPicPr>
                      <a:picLocks noChangeAspect="1"/>
                    </pic:cNvPicPr>
                  </pic:nvPicPr>
                  <pic:blipFill>
                    <a:blip r:embed="rId2"/>
                    <a:stretch>
                      <a:fillRect/>
                    </a:stretch>
                  </pic:blipFill>
                  <pic:spPr>
                    <a:xfrm>
                      <a:off x="0" y="0"/>
                      <a:ext cx="4752000" cy="2164849"/>
                    </a:xfrm>
                    <a:prstGeom prst="rect">
                      <a:avLst/>
                    </a:prstGeom>
                  </pic:spPr>
                </pic:pic>
              </a:graphicData>
            </a:graphic>
          </wp:inline>
        </w:drawing>
      </w:r>
    </w:p>
    <w:p>
      <w:pPr>
        <w:spacing w:after="200"/>
      </w:pPr>
      <w:r>
        <w:t xml:space="preserve"> </w:t>
      </w:r>
    </w:p>
    <w:p>
      <w:r>
        <w:rPr>
          <w:i/>
        </w:rPr>
        <w:t xml:space="preserve">图 1：从训练到岗位是一条条件链，不是自动升级的五级阶梯。数据来源：上海市教育委员会（2018）课程方案、上海市人民政府（2023—2024）行动方案；作者概念化。</w:t>
      </w:r>
    </w:p>
    <w:p>
      <w:pPr>
        <w:spacing w:after="200"/>
      </w:pPr>
      <w:r>
        <w:t xml:space="preserve"> </w:t>
      </w:r>
    </w:p>
    <w:p>
      <w:r>
        <w:rPr/>
        <w:t xml:space="preserve">图1强调，从课程、实训、证书、就业支持到岗位对接，每一步都设有不同的进入条件。完成技能训练不等于通过认可的能力标准；取得证书也不等于获得雇主录用；实习或安置只是过渡环节，更不等于已经稳定就业。</w:t>
      </w:r>
    </w:p>
    <w:p>
      <w:pPr>
        <w:spacing w:after="200"/>
      </w:pPr>
      <w:r>
        <w:t xml:space="preserve"> </w:t>
      </w:r>
    </w:p>
    <w:p>
      <w:r>
        <w:rPr>
          <w:b/>
        </w:rPr>
        <w:t xml:space="preserve">真实工作经验的类型决定其能够证明什么。</w:t>
      </w:r>
      <w:r>
        <w:rPr/>
        <w:t xml:space="preserve"> 上海课程方案将专业实习进一步划分为认知实习、跟岗实习和顶岗实习。这一区分表明，学生可以先了解工作环境和任务，再在有支持的条件下参与岗位活动，最终承担更接近真实岗位责任的工作（上海市教育委员会，2012018）。三者虽可递进，却不可互换：认知实习能证明职业认识有所拓展，跟岗实习能证明学生在支持下完成任务，顶岗实习则更接近真实劳动投入，但三者都不能单独证明长期就业结果。</w:t>
      </w:r>
    </w:p>
    <w:p>
      <w:pPr>
        <w:spacing w:after="200"/>
      </w:pPr>
      <w:r>
        <w:t xml:space="preserve"> </w:t>
      </w:r>
    </w:p>
    <w:p>
      <w:r>
        <w:rPr/>
        <w:t xml:space="preserve">奉贤中等专业学校的公开实践也遵循这一逻辑。报道将其“心源小舍”概括为“认知、跟岗、顶岗”实习三步走，并说明学生在茶艺实训室内学习茶饮服务和咖啡制作（奉贤中等专业学校，2021）。奉贤区政府的报道还记录了特教班学生与酒店专业学生共同学习、参与咖啡、茶艺和插花等活动（奉贤区人民政府，2023）。这些材料能够支持两项判断：一是学校把岗位任务转译为课程与实训；二是学生获得了真实工作情境中的学习机会。它们不能进一步证明学生必然取得SKM、获得开放就业，或长期保持岗位稳定。</w:t>
      </w:r>
    </w:p>
    <w:p>
      <w:pPr>
        <w:spacing w:after="200"/>
      </w:pPr>
      <w:r>
        <w:t xml:space="preserve"> </w:t>
      </w:r>
    </w:p>
    <w:p>
      <w:r>
        <w:rPr>
          <w:b/>
        </w:rPr>
        <w:t xml:space="preserve">证书只能证明通过了特定资格或能力标准，不能反向证明培训机构本身已获认可。</w:t>
      </w:r>
      <w:r>
        <w:rPr/>
        <w:t xml:space="preserve"> SKM是Malaysian Skills</w:t>
      </w:r>
      <w:r>
        <w:rPr/>
        <w:t xml:space="preserve"> Certificate的缩写，但证书的有效性和认可范围仍取决于颁证体系、课程注册、评估机构及能力标准。若培训单位没有经认可的课程或评估授权，结业证明只能说明学员完成了某门课程，不能自动转化为SKM。</w:t>
      </w:r>
    </w:p>
    <w:p>
      <w:pPr>
        <w:spacing w:after="200"/>
      </w:pPr>
      <w:r>
        <w:t xml:space="preserve"> </w:t>
      </w:r>
    </w:p>
    <w:p>
      <w:r>
        <w:rPr/>
        <w:t xml:space="preserve">同样，PTPK常被理解为技能发展融资或贷款安排，PTK也常与技能评估或认证流程相关；这些缩写均须回到主管部门文件和个案材料确认。将“参加过TVET”“取得内部结业证”和“获得SKM”写成同一结果，会掩盖资格链中真正的制度断点。</w:t>
      </w:r>
    </w:p>
    <w:p>
      <w:pPr>
        <w:spacing w:after="200"/>
      </w:pPr>
      <w:r>
        <w:t xml:space="preserve"> </w:t>
      </w:r>
    </w:p>
    <w:p>
      <w:r>
        <w:rPr>
          <w:b/>
        </w:rPr>
        <w:t xml:space="preserve">Job Coach是承担特定职责的岗位，不是由名称本身创造的就业结果。</w:t>
      </w:r>
      <w:r>
        <w:rPr/>
        <w:t xml:space="preserve"> 在国际实践中，就业教练通常连接评估、职业偏好、岗位匹配、雇主支持、合理便利、入职后跟进与退出支持。马来西亚若把这一角色纳入校内或社区项目，至少需要公开其角色边界、服务对象、与雇主和残障服务机构的协作关系、在岗支持时长、支付机制及岗位结果。</w:t>
      </w:r>
    </w:p>
    <w:p>
      <w:pPr>
        <w:spacing w:after="200"/>
      </w:pPr>
      <w:r>
        <w:t xml:space="preserve"> </w:t>
      </w:r>
    </w:p>
    <w:p>
      <w:r>
        <w:rPr/>
        <w:t xml:space="preserve">没有这些材料时，可以记录“该项目称使用Job</w:t>
      </w:r>
      <w:r>
        <w:rPr/>
        <w:t xml:space="preserve"> Coach”，但不能据此判断其已提供充分的工作支持，更不能推导学生已进入开放劳动力市场。就业教练既是服务机制，也是应当被监测的投入变量；它并不是就业成功本身。</w:t>
      </w:r>
    </w:p>
    <w:p>
      <w:pPr>
        <w:spacing w:after="200"/>
      </w:pPr>
      <w:r>
        <w:t xml:space="preserve"> </w:t>
      </w:r>
    </w:p>
    <w:p>
      <w:pPr>
        <w:pStyle w:val="Heading2"/>
        <w:spacing w:before="0" w:after="200"/>
      </w:pPr>
      <w:r>
        <w:rPr>
          <w:b/>
          <w:sz w:val="36"/>
        </w:rPr>
        <w:t xml:space="preserve">三、上海的制度优势在于规定课程与转衔，不足在于结果数据仍然稀疏</w:t>
      </w:r>
    </w:p>
    <w:p>
      <w:r>
        <w:rPr>
          <w:b/>
        </w:rPr>
        <w:t xml:space="preserve">上海特殊职业教育并非把普通专业简单复制给特殊需要学生，而是以个别化教育计划连接课程、实训和转衔。</w:t>
      </w:r>
      <w:r>
        <w:rPr/>
        <w:t xml:space="preserve"> 2018年课程方案适用于招收智力残疾、自闭症、脑瘫等学生的特殊中等职业教育学校（班），规定每周不少于28学时，4学年总学时约4,000—4,400学时；课程包括公共基础、专业和康复三类，学校须制定个别化教育计划，并建立个别化评价（上海市教育委员会，2018）。</w:t>
      </w:r>
    </w:p>
    <w:p>
      <w:pPr>
        <w:spacing w:after="200"/>
      </w:pPr>
      <w:r>
        <w:t xml:space="preserve"> </w:t>
      </w:r>
    </w:p>
    <w:p>
      <w:r>
        <w:rPr/>
        <w:t xml:space="preserve">这一制度结构避免了两项常见误读：其一，职业教育不只是就业技能培训；其二，课程也不仅仅是普通学科的压缩版。其目标是在基础素养、专业任务、康复支持和社会适应之间建立联系。但制度明确规定课程结构，并不能回答每位学生究竟获得多少有效实训、证书与岗位之间有多长间隔，以及就业能否持续。</w:t>
      </w:r>
    </w:p>
    <w:p>
      <w:pPr>
        <w:spacing w:after="200"/>
      </w:pPr>
      <w:r>
        <w:t xml:space="preserve"> </w:t>
      </w:r>
    </w:p>
    <w:p>
      <w:r>
        <w:rPr>
          <w:b/>
        </w:rPr>
        <w:t xml:space="preserve">奉贤中专的四年制实践说明，区级职业教育可以将校内实训和社区见习连接起来。</w:t>
      </w:r>
      <w:r>
        <w:rPr/>
        <w:t xml:space="preserve"> 公开报道显示，奉贤中专特教班为四年制，设烹饪、营养膳食专业，2021年建立“心源小舍”岗位认知实践基地；学校资料还明确采用“认知、跟岗、顶岗”实习三步走（奉贤中等专业学校，2021；奉贤区人民政府，2023）。2025年学校材料称，中职特教班自2017年开办，从最初11名特教学生发展到95名在校特教学生（奉贤中等专业学校，2025）。</w:t>
      </w:r>
    </w:p>
    <w:p>
      <w:pPr>
        <w:spacing w:after="200"/>
      </w:pPr>
      <w:r>
        <w:t xml:space="preserve"> </w:t>
      </w:r>
    </w:p>
    <w:p>
      <w:r>
        <w:rPr/>
        <w:t xml:space="preserve">这些数字能够确认学校规模的扩大，却不能据此计算留存率、毕业率、就业率或开放就业比例。奉贤区政府的报道同时指出，具有社会岗位实践经历的学生“大概在30%左右”，并明确说明“从真正就业来说，比例更低”（奉贤区人民政府，2023）。这一材料反而提示，参与岗位实践与实际就业之间仍有明显落差。</w:t>
      </w:r>
    </w:p>
    <w:p>
      <w:pPr>
        <w:spacing w:after="200"/>
      </w:pPr>
      <w:r>
        <w:t xml:space="preserve"> </w:t>
      </w:r>
    </w:p>
    <w:p>
      <w:pPr>
        <w:pStyle w:val="Figure"/>
      </w:pPr>
      <w:r>
        <w:t/>
        <w:drawing>
          <wp:inline distT="0" distB="0" distL="0" distR="0">
            <wp:extent cx="4752000" cy="2935666"/>
            <wp:docPr id="2" name="图片 2" descr="上海已有跨区培训、见习与台账，但各指标不可相加或推为就业率" title="图片"/>
            <a:graphic xmlns:a="http://schemas.openxmlformats.org/drawingml/2006/main">
              <a:graphicData uri="http://schemas.openxmlformats.org/drawingml/2006/picture">
                <pic:pic xmlns:pic="http://schemas.openxmlformats.org/drawingml/2006/picture">
                  <pic:nvPicPr>
                    <pic:cNvPr id="2" name="图片 2" descr="上海已有跨区培训、见习与台账，但各指标不可相加或推为就业率" title="图片"/>
                    <pic:cNvPicPr>
                      <a:picLocks noChangeAspect="1"/>
                    </pic:cNvPicPr>
                  </pic:nvPicPr>
                  <pic:blipFill>
                    <a:blip r:embed="rId3"/>
                    <a:stretch>
                      <a:fillRect/>
                    </a:stretch>
                  </pic:blipFill>
                  <pic:spPr>
                    <a:xfrm>
                      <a:off x="0" y="0"/>
                      <a:ext cx="4752000" cy="2935666"/>
                    </a:xfrm>
                    <a:prstGeom prst="rect">
                      <a:avLst/>
                    </a:prstGeom>
                  </pic:spPr>
                </pic:pic>
              </a:graphicData>
            </a:graphic>
          </wp:inline>
        </w:drawing>
      </w:r>
    </w:p>
    <w:p>
      <w:pPr>
        <w:spacing w:after="200"/>
      </w:pPr>
      <w:r>
        <w:t xml:space="preserve"> </w:t>
      </w:r>
    </w:p>
    <w:p>
      <w:r>
        <w:rPr>
          <w:i/>
        </w:rPr>
        <w:t xml:space="preserve">图 2：上海已有跨区培训、见习与台账，但各指标不可相加或推为就业率。数据来源：奉贤中等专业学校（2025）、上海市人民政府（2023—2024行动方案）、上海奉贤职业见习报道（2020）。注：95与12为单一学校／活动人数；6,000为全市培训人次；16为区级基地数，均非就业人数。</w:t>
      </w:r>
    </w:p>
    <w:p>
      <w:pPr>
        <w:spacing w:after="200"/>
      </w:pPr>
      <w:r>
        <w:t xml:space="preserve"> </w:t>
      </w:r>
    </w:p>
    <w:p>
      <w:r>
        <w:rPr/>
        <w:t xml:space="preserve">图2并列呈现的是证据基础设施，而不是就业成果排行榜。上海市2023—2024年残疾人就业行动方案提出“一人一策”就业服务台账，鼓励中职特教毕业学年学生参加实习、见习，并开展一对一服务；同期计划完成6,000人次残疾人职业技能培训（上海市人民政府，2023）。台账和培训量证明行政服务与资源投入已经存在，却不能替代就业质量、工资、持续时间和开放市场参与度。</w:t>
      </w:r>
    </w:p>
    <w:p>
      <w:pPr>
        <w:spacing w:after="240"/>
      </w:pPr>
      <w:r>
        <w:t xml:space="preserve"> </w:t>
      </w:r>
    </w:p>
    <w:tbl>
      <w:tblPr>
        <w:tblW w:w="9025" w:type="dxa"/>
        <w:tblLook w:val="04A0" w:firstRow="1" w:lastRow="0" w:firstColumn="1" w:lastColumn="0" w:noHBand="0" w:noVBand="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20" w:type="dxa"/>
          <w:bottom w:w="80" w:type="dxa"/>
          <w:right w:w="120" w:type="dxa"/>
        </w:tblCellMar>
        <w:tblLayout w:type="fixed"/>
      </w:tblPr>
      <w:tblGrid>
        <w:gridCol w:w="1353"/>
        <w:gridCol w:w="3207"/>
        <w:gridCol w:w="2231"/>
        <w:gridCol w:w="2231"/>
      </w:tblGrid>
      <w:tr>
        <w:trPr>
          <w:tblHeader w:val="1"/>
        </w:trPr>
        <w:tc>
          <w:tcPr>
            <w:tcW w:w="1353" w:type="dxa"/>
            <w:vAlign w:val="center"/>
          </w:tcPr>
          <w:p>
            <w:pPr>
              <w:jc w:val="left"/>
            </w:pPr>
            <w:r>
              <w:rPr>
                <w:b/>
                <w:sz w:val="24"/>
              </w:rPr>
              <w:t xml:space="preserve">证据层</w:t>
            </w:r>
          </w:p>
        </w:tc>
        <w:tc>
          <w:tcPr>
            <w:tcW w:w="3207" w:type="dxa"/>
            <w:vAlign w:val="center"/>
          </w:tcPr>
          <w:p>
            <w:pPr>
              <w:jc w:val="left"/>
            </w:pPr>
            <w:r>
              <w:rPr>
                <w:b/>
                <w:sz w:val="24"/>
              </w:rPr>
              <w:t xml:space="preserve">上海奉贤可确认的事实</w:t>
            </w:r>
          </w:p>
        </w:tc>
        <w:tc>
          <w:tcPr>
            <w:tcW w:w="2231" w:type="dxa"/>
            <w:vAlign w:val="center"/>
          </w:tcPr>
          <w:p>
            <w:pPr>
              <w:jc w:val="left"/>
            </w:pPr>
            <w:r>
              <w:rPr>
                <w:b/>
                <w:sz w:val="24"/>
              </w:rPr>
              <w:t xml:space="preserve">可以支持的判断</w:t>
            </w:r>
          </w:p>
        </w:tc>
        <w:tc>
          <w:tcPr>
            <w:tcW w:w="2231" w:type="dxa"/>
            <w:vAlign w:val="center"/>
          </w:tcPr>
          <w:p>
            <w:pPr>
              <w:jc w:val="left"/>
            </w:pPr>
            <w:r>
              <w:rPr>
                <w:b/>
                <w:sz w:val="24"/>
              </w:rPr>
              <w:t xml:space="preserve">不能支持的判断</w:t>
            </w:r>
          </w:p>
        </w:tc>
      </w:tr>
      <w:tr>
        <w:tc>
          <w:tcPr>
            <w:tcW w:w="1353" w:type="dxa"/>
            <w:vAlign w:val="center"/>
          </w:tcPr>
          <w:p>
            <w:pPr>
              <w:jc w:val="left"/>
            </w:pPr>
            <w:r>
              <w:rPr>
                <w:sz w:val="24"/>
              </w:rPr>
              <w:t xml:space="preserve">课程</w:t>
            </w:r>
          </w:p>
        </w:tc>
        <w:tc>
          <w:tcPr>
            <w:tcW w:w="3207" w:type="dxa"/>
            <w:vAlign w:val="center"/>
          </w:tcPr>
          <w:p>
            <w:pPr>
              <w:jc w:val="left"/>
            </w:pPr>
            <w:r>
              <w:rPr>
                <w:sz w:val="24"/>
              </w:rPr>
              <w:t xml:space="preserve">四年制、烹饪与营养膳食</w:t>
            </w:r>
          </w:p>
        </w:tc>
        <w:tc>
          <w:tcPr>
            <w:tcW w:w="2231" w:type="dxa"/>
            <w:vAlign w:val="center"/>
          </w:tcPr>
          <w:p>
            <w:pPr>
              <w:jc w:val="left"/>
            </w:pPr>
            <w:r>
              <w:rPr>
                <w:sz w:val="24"/>
              </w:rPr>
              <w:t xml:space="preserve">已形成面向特殊需要学生的专业课程</w:t>
            </w:r>
          </w:p>
        </w:tc>
        <w:tc>
          <w:tcPr>
            <w:tcW w:w="2231" w:type="dxa"/>
            <w:vAlign w:val="center"/>
          </w:tcPr>
          <w:p>
            <w:pPr>
              <w:jc w:val="left"/>
            </w:pPr>
            <w:r>
              <w:rPr>
                <w:sz w:val="24"/>
              </w:rPr>
              <w:t xml:space="preserve">不能代表所有上海特教班</w:t>
            </w:r>
          </w:p>
        </w:tc>
      </w:tr>
      <w:tr>
        <w:tc>
          <w:tcPr>
            <w:tcW w:w="1353" w:type="dxa"/>
            <w:vAlign w:val="center"/>
          </w:tcPr>
          <w:p>
            <w:pPr>
              <w:jc w:val="left"/>
            </w:pPr>
            <w:r>
              <w:rPr>
                <w:sz w:val="24"/>
              </w:rPr>
              <w:t xml:space="preserve">校内实训</w:t>
            </w:r>
          </w:p>
        </w:tc>
        <w:tc>
          <w:tcPr>
            <w:tcW w:w="3207" w:type="dxa"/>
            <w:vAlign w:val="center"/>
          </w:tcPr>
          <w:p>
            <w:pPr>
              <w:jc w:val="left"/>
            </w:pPr>
            <w:r>
              <w:rPr>
                <w:sz w:val="24"/>
              </w:rPr>
              <w:t xml:space="preserve">“心源小舍”、茶饮与咖啡制作</w:t>
            </w:r>
          </w:p>
        </w:tc>
        <w:tc>
          <w:tcPr>
            <w:tcW w:w="2231" w:type="dxa"/>
            <w:vAlign w:val="center"/>
          </w:tcPr>
          <w:p>
            <w:pPr>
              <w:jc w:val="left"/>
            </w:pPr>
            <w:r>
              <w:rPr>
                <w:sz w:val="24"/>
              </w:rPr>
              <w:t xml:space="preserve">校内岗位任务已课程化</w:t>
            </w:r>
          </w:p>
        </w:tc>
        <w:tc>
          <w:tcPr>
            <w:tcW w:w="2231" w:type="dxa"/>
            <w:vAlign w:val="center"/>
          </w:tcPr>
          <w:p>
            <w:pPr>
              <w:jc w:val="left"/>
            </w:pPr>
            <w:r>
              <w:rPr>
                <w:sz w:val="24"/>
              </w:rPr>
              <w:t xml:space="preserve">不能证明企业已录用</w:t>
            </w:r>
          </w:p>
        </w:tc>
      </w:tr>
      <w:tr>
        <w:tc>
          <w:tcPr>
            <w:tcW w:w="1353" w:type="dxa"/>
            <w:vAlign w:val="center"/>
          </w:tcPr>
          <w:p>
            <w:pPr>
              <w:jc w:val="left"/>
            </w:pPr>
            <w:r>
              <w:rPr>
                <w:sz w:val="24"/>
              </w:rPr>
              <w:t xml:space="preserve">实践路径</w:t>
            </w:r>
          </w:p>
        </w:tc>
        <w:tc>
          <w:tcPr>
            <w:tcW w:w="3207" w:type="dxa"/>
            <w:vAlign w:val="center"/>
          </w:tcPr>
          <w:p>
            <w:pPr>
              <w:jc w:val="left"/>
            </w:pPr>
            <w:r>
              <w:rPr>
                <w:sz w:val="24"/>
              </w:rPr>
              <w:t xml:space="preserve">认知、跟岗、顶岗三步走</w:t>
            </w:r>
          </w:p>
        </w:tc>
        <w:tc>
          <w:tcPr>
            <w:tcW w:w="2231" w:type="dxa"/>
            <w:vAlign w:val="center"/>
          </w:tcPr>
          <w:p>
            <w:pPr>
              <w:jc w:val="left"/>
            </w:pPr>
            <w:r>
              <w:rPr>
                <w:sz w:val="24"/>
              </w:rPr>
              <w:t xml:space="preserve">实训按接触深度分层</w:t>
            </w:r>
          </w:p>
        </w:tc>
        <w:tc>
          <w:tcPr>
            <w:tcW w:w="2231" w:type="dxa"/>
            <w:vAlign w:val="center"/>
          </w:tcPr>
          <w:p>
            <w:pPr>
              <w:jc w:val="left"/>
            </w:pPr>
            <w:r>
              <w:rPr>
                <w:sz w:val="24"/>
              </w:rPr>
              <w:t xml:space="preserve">不能把任一阶段等同就业</w:t>
            </w:r>
          </w:p>
        </w:tc>
      </w:tr>
      <w:tr>
        <w:tc>
          <w:tcPr>
            <w:tcW w:w="1353" w:type="dxa"/>
            <w:vAlign w:val="center"/>
          </w:tcPr>
          <w:p>
            <w:pPr>
              <w:jc w:val="left"/>
            </w:pPr>
            <w:r>
              <w:rPr>
                <w:sz w:val="24"/>
              </w:rPr>
              <w:t xml:space="preserve">规模</w:t>
            </w:r>
          </w:p>
        </w:tc>
        <w:tc>
          <w:tcPr>
            <w:tcW w:w="3207" w:type="dxa"/>
            <w:vAlign w:val="center"/>
          </w:tcPr>
          <w:p>
            <w:pPr>
              <w:jc w:val="left"/>
            </w:pPr>
            <w:r>
              <w:rPr>
                <w:sz w:val="24"/>
              </w:rPr>
              <w:t xml:space="preserve">2025年95名在校特教学生</w:t>
            </w:r>
          </w:p>
        </w:tc>
        <w:tc>
          <w:tcPr>
            <w:tcW w:w="2231" w:type="dxa"/>
            <w:vAlign w:val="center"/>
          </w:tcPr>
          <w:p>
            <w:pPr>
              <w:jc w:val="left"/>
            </w:pPr>
            <w:r>
              <w:rPr>
                <w:sz w:val="24"/>
              </w:rPr>
              <w:t xml:space="preserve">项目规模有所扩大</w:t>
            </w:r>
          </w:p>
        </w:tc>
        <w:tc>
          <w:tcPr>
            <w:tcW w:w="2231" w:type="dxa"/>
            <w:vAlign w:val="center"/>
          </w:tcPr>
          <w:p>
            <w:pPr>
              <w:jc w:val="left"/>
            </w:pPr>
            <w:r>
              <w:rPr>
                <w:sz w:val="24"/>
              </w:rPr>
              <w:t xml:space="preserve">不能计算毕业或就业比例</w:t>
            </w:r>
          </w:p>
        </w:tc>
      </w:tr>
      <w:tr>
        <w:tc>
          <w:tcPr>
            <w:tcW w:w="1353" w:type="dxa"/>
            <w:vAlign w:val="center"/>
          </w:tcPr>
          <w:p>
            <w:pPr>
              <w:jc w:val="left"/>
            </w:pPr>
            <w:r>
              <w:rPr>
                <w:sz w:val="24"/>
              </w:rPr>
              <w:t xml:space="preserve">跨部门服务</w:t>
            </w:r>
          </w:p>
        </w:tc>
        <w:tc>
          <w:tcPr>
            <w:tcW w:w="3207" w:type="dxa"/>
            <w:vAlign w:val="center"/>
          </w:tcPr>
          <w:p>
            <w:pPr>
              <w:jc w:val="left"/>
            </w:pPr>
            <w:r>
              <w:rPr>
                <w:sz w:val="24"/>
              </w:rPr>
              <w:t xml:space="preserve">“一人一策”台账、实习见习支持</w:t>
            </w:r>
          </w:p>
        </w:tc>
        <w:tc>
          <w:tcPr>
            <w:tcW w:w="2231" w:type="dxa"/>
            <w:vAlign w:val="center"/>
          </w:tcPr>
          <w:p>
            <w:pPr>
              <w:jc w:val="left"/>
            </w:pPr>
            <w:r>
              <w:rPr>
                <w:sz w:val="24"/>
              </w:rPr>
              <w:t xml:space="preserve">已建立服务记录与跟踪机制</w:t>
            </w:r>
          </w:p>
        </w:tc>
        <w:tc>
          <w:tcPr>
            <w:tcW w:w="2231" w:type="dxa"/>
            <w:vAlign w:val="center"/>
          </w:tcPr>
          <w:p>
            <w:pPr>
              <w:jc w:val="left"/>
            </w:pPr>
            <w:r>
              <w:rPr>
                <w:sz w:val="24"/>
              </w:rPr>
              <w:t xml:space="preserve">不能由台账数推导成功率</w:t>
            </w:r>
          </w:p>
        </w:tc>
      </w:tr>
      <w:tr>
        <w:tc>
          <w:tcPr>
            <w:tcW w:w="1353" w:type="dxa"/>
            <w:vAlign w:val="center"/>
          </w:tcPr>
          <w:p>
            <w:pPr>
              <w:jc w:val="left"/>
            </w:pPr>
            <w:r>
              <w:rPr>
                <w:sz w:val="24"/>
              </w:rPr>
              <w:t xml:space="preserve">全市培训</w:t>
            </w:r>
          </w:p>
        </w:tc>
        <w:tc>
          <w:tcPr>
            <w:tcW w:w="3207" w:type="dxa"/>
            <w:vAlign w:val="center"/>
          </w:tcPr>
          <w:p>
            <w:pPr>
              <w:jc w:val="left"/>
            </w:pPr>
            <w:r>
              <w:rPr>
                <w:sz w:val="24"/>
              </w:rPr>
              <w:t xml:space="preserve">2023—2024年计划完成6,000人次培训</w:t>
            </w:r>
          </w:p>
        </w:tc>
        <w:tc>
          <w:tcPr>
            <w:tcW w:w="2231" w:type="dxa"/>
            <w:vAlign w:val="center"/>
          </w:tcPr>
          <w:p>
            <w:pPr>
              <w:jc w:val="left"/>
            </w:pPr>
            <w:r>
              <w:rPr>
                <w:sz w:val="24"/>
              </w:rPr>
              <w:t xml:space="preserve">行政服务具有一定规模</w:t>
            </w:r>
          </w:p>
        </w:tc>
        <w:tc>
          <w:tcPr>
            <w:tcW w:w="2231" w:type="dxa"/>
            <w:vAlign w:val="center"/>
          </w:tcPr>
          <w:p>
            <w:pPr>
              <w:jc w:val="left"/>
            </w:pPr>
            <w:r>
              <w:rPr>
                <w:sz w:val="24"/>
              </w:rPr>
              <w:t xml:space="preserve">不可与学校人数相加或外推为就业率</w:t>
            </w:r>
          </w:p>
        </w:tc>
      </w:tr>
    </w:tbl>
    <w:p>
      <w:pPr>
        <w:spacing w:before="240"/>
      </w:pPr>
      <w:r>
        <w:t xml:space="preserve"> </w:t>
      </w:r>
    </w:p>
    <w:p>
      <w:r>
        <w:rPr>
          <w:b/>
        </w:rPr>
        <w:t xml:space="preserve">奉贤中专最具借鉴价值的部分，不是某项职业活动，而是课程、岗位与社区资源的连接机制。</w:t>
      </w:r>
      <w:r>
        <w:rPr/>
        <w:t xml:space="preserve"> 学校将茶饮、咖啡制作等真实任务转化为校内实训，再通过社区企业见习连接外部劳动力市场；其专业方向包括烹饪与营养膳食，并与酒店专业共同学习（奉贤区人民政府，2023；奉贤中等专业学校，2021）。这种安排可使学生在熟悉校内任务后，逐步适应社区环境中的通勤、顾客、时间和人际要求。</w:t>
      </w:r>
    </w:p>
    <w:p>
      <w:pPr>
        <w:spacing w:after="200"/>
      </w:pPr>
      <w:r>
        <w:t xml:space="preserve"> </w:t>
      </w:r>
    </w:p>
    <w:p>
      <w:r>
        <w:rPr/>
        <w:t xml:space="preserve">2020年，奉贤区残联为16家企业授牌，建立面向即将进入社会、失业或待业、35周岁以下特殊青年的职业见习基地，服务内容包括洗车、档案、咖啡和零售类体验（澎湃新闻，2020）。这些企业可以提供需求信号、真实岗位和就业通道；但报道所称“表现优异还有机会转正”属于条件性机会，而非已实现的就业结果。更严格的研究还应补充岗位数量、留用人数、薪资、合理便利、支持来源以及3个月、6个月和12个月留存率。</w:t>
      </w:r>
    </w:p>
    <w:p>
      <w:pPr>
        <w:spacing w:after="200"/>
      </w:pPr>
      <w:r>
        <w:t xml:space="preserve"> </w:t>
      </w:r>
    </w:p>
    <w:p>
      <w:r>
        <w:rPr>
          <w:b/>
        </w:rPr>
        <w:t xml:space="preserve">上海体系的薄弱点不是完全没有转衔规定，而是缺少可以公开比较的结果数据。</w:t>
      </w:r>
      <w:r>
        <w:rPr/>
        <w:t xml:space="preserve"> 目前可以确认“一生一档”“一人一策”、实习实训和跨部门服务，却难以从公开资料中稳定回答：不同障碍类别和课程组别的毕业生去了哪里，获得了何种合同与工资，岗位由谁匹配，支持持续多久，又在何时退出。</w:t>
      </w:r>
    </w:p>
    <w:p>
      <w:pPr>
        <w:spacing w:after="200"/>
      </w:pPr>
      <w:r>
        <w:t xml:space="preserve"> </w:t>
      </w:r>
    </w:p>
    <w:p>
      <w:r>
        <w:rPr/>
        <w:t xml:space="preserve">这些问题不是行政细节，而是判断项目是否真正连接开放就业的关键。只有当培训、证书、安置和就业结果分别计数，才可能判断哪一环节最容易发生脱落，以及Job</w:t>
      </w:r>
      <w:r>
        <w:rPr/>
        <w:t xml:space="preserve"> Coach、企业带教或社区见习分别对谁最有效。</w:t>
      </w:r>
    </w:p>
    <w:p>
      <w:pPr>
        <w:spacing w:after="200"/>
      </w:pPr>
      <w:r>
        <w:t xml:space="preserve"> </w:t>
      </w:r>
    </w:p>
    <w:p>
      <w:pPr>
        <w:pStyle w:val="Heading2"/>
        <w:spacing w:before="0" w:after="200"/>
      </w:pPr>
      <w:r>
        <w:rPr>
          <w:b/>
          <w:sz w:val="36"/>
        </w:rPr>
        <w:t xml:space="preserve">四、马来西亚全国制度可描述，吉隆坡本地实施却难以逐案验证</w:t>
      </w:r>
    </w:p>
    <w:p>
      <w:r>
        <w:rPr>
          <w:b/>
        </w:rPr>
        <w:t xml:space="preserve">马来西亚的特殊教育、TVET和技能资格制度具有联邦制度基础，但本次资料未能形成完整的资格链。</w:t>
      </w:r>
      <w:r>
        <w:rPr/>
        <w:t xml:space="preserve"> 现有公开材料显示，马来西亚教育部通过Program Pendidikan Khas</w:t>
      </w:r>
      <w:r>
        <w:rPr/>
        <w:t xml:space="preserve"> Integrasi（PPKI）等安排在普通学校设置特殊教育班，服务对象包括学习障碍及其他特殊需要学生；TVET系统则由教育、高等教育和人力资源等部门的多个机构共同承担。</w:t>
      </w:r>
    </w:p>
    <w:p>
      <w:pPr>
        <w:spacing w:after="200"/>
      </w:pPr>
      <w:r>
        <w:t xml:space="preserve"> </w:t>
      </w:r>
    </w:p>
    <w:p>
      <w:r>
        <w:rPr/>
        <w:t xml:space="preserve">SKM属于技能资格，通常与技能发展主管机关的National Occupational Skills Standards（NOSS）和能力评估相连；PTPK、SLDN等缩写则分别关联培训融资、双元培训或其他制度安排。PPKI、TVET、SKM、PTK与Job</w:t>
      </w:r>
      <w:r>
        <w:rPr/>
        <w:t xml:space="preserve"> Coach若被串成固定链条，必须具备课程批准、学生入学资格、培训提供者、注册或评估中心、证书颁授及就业服务记录。本次检索未取得能够验证这一完整链条的政府文件。</w:t>
      </w:r>
    </w:p>
    <w:p>
      <w:pPr>
        <w:spacing w:after="200"/>
      </w:pPr>
      <w:r>
        <w:t xml:space="preserve"> </w:t>
      </w:r>
    </w:p>
    <w:p>
      <w:r>
        <w:rPr>
          <w:b/>
        </w:rPr>
        <w:t xml:space="preserve">六案不能因名称或缩写相似，就被并入同一已验证项目。</w:t>
      </w:r>
      <w:r>
        <w:rPr/>
        <w:t xml:space="preserve"> SMPKV Shah Alam从名称判断可能是莎阿南的技能或职业机构，莎阿南位于雪兰莪州，而不是吉隆坡联邦直辖区；但公开检索未发现足以确认该机构是否设有特殊需要学生项目、是否提供PPKI课程、是否注册TVET、是否颁授SKM或是否开展开放就业安置的权威材料。SAMH Wisma Harapan可能是社会、心理健康或残障服务机构的名称，但“Wisma</w:t>
      </w:r>
      <w:r>
        <w:rPr/>
        <w:t xml:space="preserve"> Harapan”也可能由多个组织使用，本次未定位到能够确认地点、服务对象、课程、证书和就业结果的一手文件。</w:t>
      </w:r>
    </w:p>
    <w:p>
      <w:pPr>
        <w:spacing w:after="200"/>
      </w:pPr>
      <w:r>
        <w:t xml:space="preserve"> </w:t>
      </w:r>
    </w:p>
    <w:p>
      <w:r>
        <w:rPr/>
        <w:t xml:space="preserve">Bengkel Daya可能是工作坊、社会企业、职业培训单位或培训项目名称。“Bengkel”和“Daya”在马来文中具有较强的一般性，无法仅凭名称锁定主体。PLPP、PTK、PPKI与Job</w:t>
      </w:r>
      <w:r>
        <w:rPr/>
        <w:t xml:space="preserve"> Coach则分别可能是项目、部门或岗位角色的缩写。将这些缩写连成一个固定制度流程，至少需要一份经确认的机构文件逐项说明，而不能依据缩写的字面含义推定。</w:t>
      </w:r>
    </w:p>
    <w:p>
      <w:pPr>
        <w:spacing w:after="240"/>
      </w:pPr>
      <w:r>
        <w:t xml:space="preserve"> </w:t>
      </w:r>
    </w:p>
    <w:tbl>
      <w:tblPr>
        <w:tblW w:w="9025" w:type="dxa"/>
        <w:tblLook w:val="04A0" w:firstRow="1" w:lastRow="0" w:firstColumn="1" w:lastColumn="0" w:noHBand="0" w:noVBand="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20" w:type="dxa"/>
          <w:bottom w:w="80" w:type="dxa"/>
          <w:right w:w="120" w:type="dxa"/>
        </w:tblCellMar>
        <w:tblLayout w:type="fixed"/>
      </w:tblPr>
      <w:tblGrid>
        <w:gridCol w:w="1887"/>
        <w:gridCol w:w="1353"/>
        <w:gridCol w:w="1607"/>
        <w:gridCol w:w="1353"/>
        <w:gridCol w:w="1468"/>
        <w:gridCol w:w="1353"/>
      </w:tblGrid>
      <w:tr>
        <w:trPr>
          <w:tblHeader w:val="1"/>
        </w:trPr>
        <w:tc>
          <w:tcPr>
            <w:tcW w:w="1887" w:type="dxa"/>
            <w:vAlign w:val="center"/>
          </w:tcPr>
          <w:p>
            <w:pPr>
              <w:jc w:val="left"/>
            </w:pPr>
            <w:r>
              <w:rPr>
                <w:b/>
                <w:sz w:val="24"/>
              </w:rPr>
              <w:t xml:space="preserve">案例</w:t>
            </w:r>
          </w:p>
        </w:tc>
        <w:tc>
          <w:tcPr>
            <w:tcW w:w="1353" w:type="dxa"/>
            <w:vAlign w:val="center"/>
          </w:tcPr>
          <w:p>
            <w:pPr>
              <w:jc w:val="left"/>
            </w:pPr>
            <w:r>
              <w:rPr>
                <w:b/>
                <w:sz w:val="24"/>
              </w:rPr>
              <w:t xml:space="preserve">可能归属或名称解释</w:t>
            </w:r>
          </w:p>
        </w:tc>
        <w:tc>
          <w:tcPr>
            <w:tcW w:w="1607" w:type="dxa"/>
            <w:vAlign w:val="center"/>
          </w:tcPr>
          <w:p>
            <w:pPr>
              <w:jc w:val="left"/>
            </w:pPr>
            <w:r>
              <w:rPr>
                <w:b/>
                <w:sz w:val="24"/>
              </w:rPr>
              <w:t xml:space="preserve">已确认事实</w:t>
            </w:r>
          </w:p>
        </w:tc>
        <w:tc>
          <w:tcPr>
            <w:tcW w:w="1353" w:type="dxa"/>
            <w:vAlign w:val="center"/>
          </w:tcPr>
          <w:p>
            <w:pPr>
              <w:jc w:val="left"/>
            </w:pPr>
            <w:r>
              <w:rPr>
                <w:b/>
                <w:sz w:val="24"/>
              </w:rPr>
              <w:t xml:space="preserve">证据等级</w:t>
            </w:r>
          </w:p>
        </w:tc>
        <w:tc>
          <w:tcPr>
            <w:tcW w:w="1468" w:type="dxa"/>
            <w:vAlign w:val="center"/>
          </w:tcPr>
          <w:p>
            <w:pPr>
              <w:jc w:val="left"/>
            </w:pPr>
            <w:r>
              <w:rPr>
                <w:b/>
                <w:sz w:val="24"/>
              </w:rPr>
              <w:t xml:space="preserve">可成立的表述</w:t>
            </w:r>
          </w:p>
        </w:tc>
        <w:tc>
          <w:tcPr>
            <w:tcW w:w="1353" w:type="dxa"/>
            <w:vAlign w:val="center"/>
          </w:tcPr>
          <w:p>
            <w:pPr>
              <w:jc w:val="left"/>
            </w:pPr>
            <w:r>
              <w:rPr>
                <w:b/>
                <w:sz w:val="24"/>
              </w:rPr>
              <w:t xml:space="preserve">不可成立的表述</w:t>
            </w:r>
          </w:p>
        </w:tc>
      </w:tr>
      <w:tr>
        <w:tc>
          <w:tcPr>
            <w:tcW w:w="1887" w:type="dxa"/>
            <w:vAlign w:val="center"/>
          </w:tcPr>
          <w:p>
            <w:pPr>
              <w:jc w:val="left"/>
            </w:pPr>
            <w:r>
              <w:rPr>
                <w:sz w:val="24"/>
              </w:rPr>
              <w:t xml:space="preserve">SMPKV Shah</w:t>
            </w:r>
            <w:r>
              <w:rPr>
                <w:sz w:val="24"/>
              </w:rPr>
              <w:t xml:space="preserve"> Alam</w:t>
            </w:r>
          </w:p>
        </w:tc>
        <w:tc>
          <w:tcPr>
            <w:tcW w:w="1353" w:type="dxa"/>
            <w:vAlign w:val="center"/>
          </w:tcPr>
          <w:p>
            <w:pPr>
              <w:jc w:val="left"/>
            </w:pPr>
            <w:r>
              <w:rPr>
                <w:sz w:val="24"/>
              </w:rPr>
              <w:t xml:space="preserve">莎阿南技能／职业机构</w:t>
            </w:r>
          </w:p>
        </w:tc>
        <w:tc>
          <w:tcPr>
            <w:tcW w:w="1607" w:type="dxa"/>
            <w:vAlign w:val="center"/>
          </w:tcPr>
          <w:p>
            <w:pPr>
              <w:jc w:val="left"/>
            </w:pPr>
            <w:r>
              <w:rPr>
                <w:sz w:val="24"/>
              </w:rPr>
              <w:t xml:space="preserve">可定位至雪兰莪州莎阿南；未确认特殊需要学生项目</w:t>
            </w:r>
          </w:p>
        </w:tc>
        <w:tc>
          <w:tcPr>
            <w:tcW w:w="1353" w:type="dxa"/>
            <w:vAlign w:val="center"/>
          </w:tcPr>
          <w:p>
            <w:pPr>
              <w:jc w:val="left"/>
            </w:pPr>
            <w:r>
              <w:rPr>
                <w:sz w:val="24"/>
              </w:rPr>
              <w:t xml:space="preserve">D</w:t>
            </w:r>
          </w:p>
        </w:tc>
        <w:tc>
          <w:tcPr>
            <w:tcW w:w="1468" w:type="dxa"/>
            <w:vAlign w:val="center"/>
          </w:tcPr>
          <w:p>
            <w:pPr>
              <w:jc w:val="left"/>
            </w:pPr>
            <w:r>
              <w:rPr>
                <w:sz w:val="24"/>
              </w:rPr>
              <w:t xml:space="preserve">“需向学校或主管机关核实”</w:t>
            </w:r>
          </w:p>
        </w:tc>
        <w:tc>
          <w:tcPr>
            <w:tcW w:w="1353" w:type="dxa"/>
            <w:vAlign w:val="center"/>
          </w:tcPr>
          <w:p>
            <w:pPr>
              <w:jc w:val="left"/>
            </w:pPr>
            <w:r>
              <w:rPr>
                <w:sz w:val="24"/>
              </w:rPr>
              <w:t xml:space="preserve">“位于吉隆坡并已取得SKM”</w:t>
            </w:r>
          </w:p>
        </w:tc>
      </w:tr>
      <w:tr>
        <w:tc>
          <w:tcPr>
            <w:tcW w:w="1887" w:type="dxa"/>
            <w:vAlign w:val="center"/>
          </w:tcPr>
          <w:p>
            <w:pPr>
              <w:jc w:val="left"/>
            </w:pPr>
            <w:r>
              <w:rPr>
                <w:sz w:val="24"/>
              </w:rPr>
              <w:t xml:space="preserve">SAMH Wisma</w:t>
            </w:r>
            <w:r>
              <w:rPr>
                <w:sz w:val="24"/>
              </w:rPr>
              <w:t xml:space="preserve"> Harapan</w:t>
            </w:r>
          </w:p>
        </w:tc>
        <w:tc>
          <w:tcPr>
            <w:tcW w:w="1353" w:type="dxa"/>
            <w:vAlign w:val="center"/>
          </w:tcPr>
          <w:p>
            <w:pPr>
              <w:jc w:val="left"/>
            </w:pPr>
            <w:r>
              <w:rPr>
                <w:sz w:val="24"/>
              </w:rPr>
              <w:t xml:space="preserve">可能为社会／心理健康／残障服务点</w:t>
            </w:r>
          </w:p>
        </w:tc>
        <w:tc>
          <w:tcPr>
            <w:tcW w:w="1607" w:type="dxa"/>
            <w:vAlign w:val="center"/>
          </w:tcPr>
          <w:p>
            <w:pPr>
              <w:jc w:val="left"/>
            </w:pPr>
            <w:r>
              <w:rPr>
                <w:sz w:val="24"/>
              </w:rPr>
              <w:t xml:space="preserve">未取得权威材料</w:t>
            </w:r>
          </w:p>
        </w:tc>
        <w:tc>
          <w:tcPr>
            <w:tcW w:w="1353" w:type="dxa"/>
            <w:vAlign w:val="center"/>
          </w:tcPr>
          <w:p>
            <w:pPr>
              <w:jc w:val="left"/>
            </w:pPr>
            <w:r>
              <w:rPr>
                <w:sz w:val="24"/>
              </w:rPr>
              <w:t xml:space="preserve">D</w:t>
            </w:r>
          </w:p>
        </w:tc>
        <w:tc>
          <w:tcPr>
            <w:tcW w:w="1468" w:type="dxa"/>
            <w:vAlign w:val="center"/>
          </w:tcPr>
          <w:p>
            <w:pPr>
              <w:jc w:val="left"/>
            </w:pPr>
            <w:r>
              <w:rPr>
                <w:sz w:val="24"/>
              </w:rPr>
              <w:t xml:space="preserve">“存在机构主张的线索，但无法独立核验”</w:t>
            </w:r>
          </w:p>
        </w:tc>
        <w:tc>
          <w:tcPr>
            <w:tcW w:w="1353" w:type="dxa"/>
            <w:vAlign w:val="center"/>
          </w:tcPr>
          <w:p>
            <w:pPr>
              <w:jc w:val="left"/>
            </w:pPr>
            <w:r>
              <w:rPr>
                <w:sz w:val="24"/>
              </w:rPr>
              <w:t xml:space="preserve">“已开展就业安置”</w:t>
            </w:r>
          </w:p>
        </w:tc>
      </w:tr>
      <w:tr>
        <w:tc>
          <w:tcPr>
            <w:tcW w:w="1887" w:type="dxa"/>
            <w:vAlign w:val="center"/>
          </w:tcPr>
          <w:p>
            <w:pPr>
              <w:jc w:val="left"/>
            </w:pPr>
            <w:r>
              <w:rPr>
                <w:sz w:val="24"/>
              </w:rPr>
              <w:t xml:space="preserve">Bengkel</w:t>
            </w:r>
            <w:r>
              <w:rPr>
                <w:sz w:val="24"/>
              </w:rPr>
              <w:t xml:space="preserve"> Daya</w:t>
            </w:r>
          </w:p>
        </w:tc>
        <w:tc>
          <w:tcPr>
            <w:tcW w:w="1353" w:type="dxa"/>
            <w:vAlign w:val="center"/>
          </w:tcPr>
          <w:p>
            <w:pPr>
              <w:jc w:val="left"/>
            </w:pPr>
            <w:r>
              <w:rPr>
                <w:sz w:val="24"/>
              </w:rPr>
              <w:t xml:space="preserve">工作坊、培训或项目名称</w:t>
            </w:r>
          </w:p>
        </w:tc>
        <w:tc>
          <w:tcPr>
            <w:tcW w:w="1607" w:type="dxa"/>
            <w:vAlign w:val="center"/>
          </w:tcPr>
          <w:p>
            <w:pPr>
              <w:jc w:val="left"/>
            </w:pPr>
            <w:r>
              <w:rPr>
                <w:sz w:val="24"/>
              </w:rPr>
              <w:t xml:space="preserve">未确认注册、地点、服务对象及结果</w:t>
            </w:r>
          </w:p>
        </w:tc>
        <w:tc>
          <w:tcPr>
            <w:tcW w:w="1353" w:type="dxa"/>
            <w:vAlign w:val="center"/>
          </w:tcPr>
          <w:p>
            <w:pPr>
              <w:jc w:val="left"/>
            </w:pPr>
            <w:r>
              <w:rPr>
                <w:sz w:val="24"/>
              </w:rPr>
              <w:t xml:space="preserve">D</w:t>
            </w:r>
          </w:p>
        </w:tc>
        <w:tc>
          <w:tcPr>
            <w:tcW w:w="1468" w:type="dxa"/>
            <w:vAlign w:val="center"/>
          </w:tcPr>
          <w:p>
            <w:pPr>
              <w:jc w:val="left"/>
            </w:pPr>
            <w:r>
              <w:rPr>
                <w:sz w:val="24"/>
              </w:rPr>
              <w:t xml:space="preserve">“可能是培训或社会企业，须取得章程／官网”</w:t>
            </w:r>
          </w:p>
        </w:tc>
        <w:tc>
          <w:tcPr>
            <w:tcW w:w="1353" w:type="dxa"/>
            <w:vAlign w:val="center"/>
          </w:tcPr>
          <w:p>
            <w:pPr>
              <w:jc w:val="left"/>
            </w:pPr>
            <w:r>
              <w:rPr>
                <w:sz w:val="24"/>
              </w:rPr>
              <w:t xml:space="preserve">“属于吉隆坡联邦直辖区案例”</w:t>
            </w:r>
          </w:p>
        </w:tc>
      </w:tr>
      <w:tr>
        <w:tc>
          <w:tcPr>
            <w:tcW w:w="1887" w:type="dxa"/>
            <w:vAlign w:val="center"/>
          </w:tcPr>
          <w:p>
            <w:pPr>
              <w:jc w:val="left"/>
            </w:pPr>
            <w:r>
              <w:rPr>
                <w:sz w:val="24"/>
              </w:rPr>
              <w:t xml:space="preserve">PLPP</w:t>
            </w:r>
          </w:p>
        </w:tc>
        <w:tc>
          <w:tcPr>
            <w:tcW w:w="1353" w:type="dxa"/>
            <w:vAlign w:val="center"/>
          </w:tcPr>
          <w:p>
            <w:pPr>
              <w:jc w:val="left"/>
            </w:pPr>
            <w:r>
              <w:rPr>
                <w:sz w:val="24"/>
              </w:rPr>
              <w:t xml:space="preserve">缩写，可能指项目或部门</w:t>
            </w:r>
          </w:p>
        </w:tc>
        <w:tc>
          <w:tcPr>
            <w:tcW w:w="1607" w:type="dxa"/>
            <w:vAlign w:val="center"/>
          </w:tcPr>
          <w:p>
            <w:pPr>
              <w:jc w:val="left"/>
            </w:pPr>
            <w:r>
              <w:rPr>
                <w:sz w:val="24"/>
              </w:rPr>
              <w:t xml:space="preserve">未确认全称、主管单位、服务对象</w:t>
            </w:r>
          </w:p>
        </w:tc>
        <w:tc>
          <w:tcPr>
            <w:tcW w:w="1353" w:type="dxa"/>
            <w:vAlign w:val="center"/>
          </w:tcPr>
          <w:p>
            <w:pPr>
              <w:jc w:val="left"/>
            </w:pPr>
            <w:r>
              <w:rPr>
                <w:sz w:val="24"/>
              </w:rPr>
              <w:t xml:space="preserve">D</w:t>
            </w:r>
          </w:p>
        </w:tc>
        <w:tc>
          <w:tcPr>
            <w:tcW w:w="1468" w:type="dxa"/>
            <w:vAlign w:val="center"/>
          </w:tcPr>
          <w:p>
            <w:pPr>
              <w:jc w:val="left"/>
            </w:pPr>
            <w:r>
              <w:rPr>
                <w:sz w:val="24"/>
              </w:rPr>
              <w:t xml:space="preserve">“需核对官方项目清单”</w:t>
            </w:r>
          </w:p>
        </w:tc>
        <w:tc>
          <w:tcPr>
            <w:tcW w:w="1353" w:type="dxa"/>
            <w:vAlign w:val="center"/>
          </w:tcPr>
          <w:p>
            <w:pPr>
              <w:jc w:val="left"/>
            </w:pPr>
            <w:r>
              <w:rPr>
                <w:sz w:val="24"/>
              </w:rPr>
              <w:t xml:space="preserve">“已为残障青年提供TVET”</w:t>
            </w:r>
          </w:p>
        </w:tc>
      </w:tr>
      <w:tr>
        <w:tc>
          <w:tcPr>
            <w:tcW w:w="1887" w:type="dxa"/>
            <w:vAlign w:val="center"/>
          </w:tcPr>
          <w:p>
            <w:pPr>
              <w:jc w:val="left"/>
            </w:pPr>
            <w:r>
              <w:rPr>
                <w:sz w:val="24"/>
              </w:rPr>
              <w:t xml:space="preserve">PPKI—TVET—SKM—PTK—Job</w:t>
            </w:r>
            <w:r>
              <w:rPr>
                <w:sz w:val="24"/>
              </w:rPr>
              <w:t xml:space="preserve"> Coach</w:t>
            </w:r>
          </w:p>
        </w:tc>
        <w:tc>
          <w:tcPr>
            <w:tcW w:w="1353" w:type="dxa"/>
            <w:vAlign w:val="center"/>
          </w:tcPr>
          <w:p>
            <w:pPr>
              <w:jc w:val="left"/>
            </w:pPr>
            <w:r>
              <w:rPr>
                <w:sz w:val="24"/>
              </w:rPr>
              <w:t xml:space="preserve">概念／缩写组合</w:t>
            </w:r>
          </w:p>
        </w:tc>
        <w:tc>
          <w:tcPr>
            <w:tcW w:w="1607" w:type="dxa"/>
            <w:vAlign w:val="center"/>
          </w:tcPr>
          <w:p>
            <w:pPr>
              <w:jc w:val="left"/>
            </w:pPr>
            <w:r>
              <w:rPr>
                <w:sz w:val="24"/>
              </w:rPr>
              <w:t xml:space="preserve">可确认各词在马来西亚制度语境中出现</w:t>
            </w:r>
          </w:p>
        </w:tc>
        <w:tc>
          <w:tcPr>
            <w:tcW w:w="1353" w:type="dxa"/>
            <w:vAlign w:val="center"/>
          </w:tcPr>
          <w:p>
            <w:pPr>
              <w:jc w:val="left"/>
            </w:pPr>
            <w:r>
              <w:rPr>
                <w:sz w:val="24"/>
              </w:rPr>
              <w:t xml:space="preserve">D</w:t>
            </w:r>
          </w:p>
        </w:tc>
        <w:tc>
          <w:tcPr>
            <w:tcW w:w="1468" w:type="dxa"/>
            <w:vAlign w:val="center"/>
          </w:tcPr>
          <w:p>
            <w:pPr>
              <w:jc w:val="left"/>
            </w:pPr>
            <w:r>
              <w:rPr>
                <w:sz w:val="24"/>
              </w:rPr>
              <w:t xml:space="preserve">“可作为待核验的服务链条”</w:t>
            </w:r>
          </w:p>
        </w:tc>
        <w:tc>
          <w:tcPr>
            <w:tcW w:w="1353" w:type="dxa"/>
            <w:vAlign w:val="center"/>
          </w:tcPr>
          <w:p>
            <w:pPr>
              <w:jc w:val="left"/>
            </w:pPr>
            <w:r>
              <w:rPr>
                <w:sz w:val="24"/>
              </w:rPr>
              <w:t xml:space="preserve">“已构成可复制的吉隆坡模型”</w:t>
            </w:r>
          </w:p>
        </w:tc>
      </w:tr>
      <w:tr>
        <w:tc>
          <w:tcPr>
            <w:tcW w:w="1887" w:type="dxa"/>
            <w:vAlign w:val="center"/>
          </w:tcPr>
          <w:p>
            <w:pPr>
              <w:jc w:val="left"/>
            </w:pPr>
            <w:r>
              <w:rPr>
                <w:sz w:val="24"/>
              </w:rPr>
              <w:t xml:space="preserve">Job</w:t>
            </w:r>
            <w:r>
              <w:rPr>
                <w:sz w:val="24"/>
              </w:rPr>
              <w:t xml:space="preserve"> Coach</w:t>
            </w:r>
          </w:p>
        </w:tc>
        <w:tc>
          <w:tcPr>
            <w:tcW w:w="1353" w:type="dxa"/>
            <w:vAlign w:val="center"/>
          </w:tcPr>
          <w:p>
            <w:pPr>
              <w:jc w:val="left"/>
            </w:pPr>
            <w:r>
              <w:rPr>
                <w:sz w:val="24"/>
              </w:rPr>
              <w:t xml:space="preserve">就业教练岗位</w:t>
            </w:r>
          </w:p>
        </w:tc>
        <w:tc>
          <w:tcPr>
            <w:tcW w:w="1607" w:type="dxa"/>
            <w:vAlign w:val="center"/>
          </w:tcPr>
          <w:p>
            <w:pPr>
              <w:jc w:val="left"/>
            </w:pPr>
            <w:r>
              <w:rPr>
                <w:sz w:val="24"/>
              </w:rPr>
              <w:t xml:space="preserve">未取得吉隆坡案例中的职责、雇主或成效资料</w:t>
            </w:r>
          </w:p>
        </w:tc>
        <w:tc>
          <w:tcPr>
            <w:tcW w:w="1353" w:type="dxa"/>
            <w:vAlign w:val="center"/>
          </w:tcPr>
          <w:p>
            <w:pPr>
              <w:jc w:val="left"/>
            </w:pPr>
            <w:r>
              <w:rPr>
                <w:sz w:val="24"/>
              </w:rPr>
              <w:t xml:space="preserve">D</w:t>
            </w:r>
          </w:p>
        </w:tc>
        <w:tc>
          <w:tcPr>
            <w:tcW w:w="1468" w:type="dxa"/>
            <w:vAlign w:val="center"/>
          </w:tcPr>
          <w:p>
            <w:pPr>
              <w:jc w:val="left"/>
            </w:pPr>
            <w:r>
              <w:rPr>
                <w:sz w:val="24"/>
              </w:rPr>
              <w:t xml:space="preserve">“在支持性就业中具有潜在价值”</w:t>
            </w:r>
          </w:p>
        </w:tc>
        <w:tc>
          <w:tcPr>
            <w:tcW w:w="1353" w:type="dxa"/>
            <w:vAlign w:val="center"/>
          </w:tcPr>
          <w:p>
            <w:pPr>
              <w:jc w:val="left"/>
            </w:pPr>
            <w:r>
              <w:rPr>
                <w:sz w:val="24"/>
              </w:rPr>
              <w:t xml:space="preserve">“已显著提高当地开放就业率”</w:t>
            </w:r>
          </w:p>
        </w:tc>
      </w:tr>
    </w:tbl>
    <w:p>
      <w:pPr>
        <w:spacing w:before="240"/>
      </w:pPr>
      <w:r>
        <w:t xml:space="preserve"> </w:t>
      </w:r>
    </w:p>
    <w:p>
      <w:r>
        <w:rPr>
          <w:b/>
        </w:rPr>
        <w:t xml:space="preserve">现有证据只能支持“应核验”，不能支持“已经存在”。</w:t>
      </w:r>
      <w:r>
        <w:rPr/>
        <w:t xml:space="preserve"> 这六项均不应作为已证实的吉隆坡联邦直辖区创新案例进入正式比较。若未来取得机构章程、政府注册、课程批准、培训与评估结果、企业合作协议及脱敏后的岗位去向，才可将其证据等级提升到A或B级。在此之前，任何成功人数、工资水平、开放就业率或SKM获证人数都不应被写入结论。</w:t>
      </w:r>
    </w:p>
    <w:p>
      <w:pPr>
        <w:spacing w:after="200"/>
      </w:pPr>
      <w:r>
        <w:t xml:space="preserve"> </w:t>
      </w:r>
    </w:p>
    <w:p>
      <w:r>
        <w:rPr/>
        <w:t xml:space="preserve">这一处理并非过度保守。特教职业教育研究若把名称、地点和成效混在一起，最容易造成两类错误：一是把普通TVET机构的存在误写为特殊需要学生项目；二是把一次实习、一个结业证或一处庇护性工作场所误写为开放就业成果。</w:t>
      </w:r>
    </w:p>
    <w:p>
      <w:pPr>
        <w:spacing w:after="200"/>
      </w:pPr>
      <w:r>
        <w:t xml:space="preserve"> </w:t>
      </w:r>
    </w:p>
    <w:p>
      <w:pPr>
        <w:pStyle w:val="Heading2"/>
        <w:spacing w:before="0" w:after="200"/>
      </w:pPr>
      <w:r>
        <w:rPr>
          <w:b/>
          <w:sz w:val="36"/>
        </w:rPr>
        <w:t xml:space="preserve">五、开放就业、支持性就业与庇护性就业不能按工作地点一概而论</w:t>
      </w:r>
    </w:p>
    <w:p>
      <w:r>
        <w:rPr>
          <w:b/>
        </w:rPr>
        <w:t xml:space="preserve">工作是否在开放劳动力市场中进行，必须结合选择、竞争、报酬和工作条件判断，而不是看工作场所是否叫作“咖啡馆”。</w:t>
      </w:r>
      <w:r>
        <w:rPr/>
        <w:t xml:space="preserve"> 开放就业通常指由残疾人与雇主在竞争性劳动力市场中自由选择和接受的工作，其工资与工作条件原则上符合适用法律。支持性就业则通过持续或有时限的工作支持，帮助个人在整合或开放环境中工作。庇护性工作通常由专门机构提供，可能具有收入保障或社会参与价值，但不能仅凭“有薪”便认定为开放市场中的竞争性就业。</w:t>
      </w:r>
    </w:p>
    <w:p>
      <w:pPr>
        <w:spacing w:after="200"/>
      </w:pPr>
      <w:r>
        <w:t xml:space="preserve"> </w:t>
      </w:r>
    </w:p>
    <w:p>
      <w:r>
        <w:rPr/>
        <w:t xml:space="preserve">因此，校内咖啡点、社会企业、庇护工场和普通企业中的岗位可能形成连续谱，却不能按地点自动分类。关键不在于学生是否在咖啡馆，而在于其是否获得真实选择、法定报酬、与能力相称的工作条件、退出或转换岗位的权利，以及不因障碍身份受到排斥。</w:t>
      </w:r>
    </w:p>
    <w:p>
      <w:pPr>
        <w:spacing w:after="200"/>
      </w:pPr>
      <w:r>
        <w:t xml:space="preserve"> </w:t>
      </w:r>
    </w:p>
    <w:p>
      <w:r>
        <w:rPr>
          <w:b/>
        </w:rPr>
        <w:t xml:space="preserve">对特殊需要青年而言，岗位质量必须与岗位获得同步记录。</w:t>
      </w:r>
      <w:r>
        <w:rPr/>
        <w:t xml:space="preserve"> 可操作的岗位质量指标至少包括：</w:t>
      </w:r>
    </w:p>
    <w:p>
      <w:pPr>
        <w:spacing w:after="240"/>
      </w:pPr>
      <w:r>
        <w:t xml:space="preserve"> </w:t>
      </w:r>
    </w:p>
    <w:tbl>
      <w:tblPr>
        <w:tblW w:w="9025" w:type="dxa"/>
        <w:tblLook w:val="04A0" w:firstRow="1" w:lastRow="0" w:firstColumn="1" w:lastColumn="0" w:noHBand="0" w:noVBand="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20" w:type="dxa"/>
          <w:bottom w:w="80" w:type="dxa"/>
          <w:right w:w="120" w:type="dxa"/>
        </w:tblCellMar>
        <w:tblLayout w:type="fixed"/>
      </w:tblPr>
      <w:tblGrid>
        <w:gridCol w:w="1353"/>
        <w:gridCol w:w="7671"/>
      </w:tblGrid>
      <w:tr>
        <w:trPr>
          <w:tblHeader w:val="1"/>
        </w:trPr>
        <w:tc>
          <w:tcPr>
            <w:tcW w:w="1353" w:type="dxa"/>
            <w:vAlign w:val="center"/>
          </w:tcPr>
          <w:p>
            <w:pPr>
              <w:jc w:val="left"/>
            </w:pPr>
            <w:r>
              <w:rPr>
                <w:b/>
                <w:sz w:val="24"/>
              </w:rPr>
              <w:t xml:space="preserve">维度</w:t>
            </w:r>
          </w:p>
        </w:tc>
        <w:tc>
          <w:tcPr>
            <w:tcW w:w="7671" w:type="dxa"/>
            <w:vAlign w:val="center"/>
          </w:tcPr>
          <w:p>
            <w:pPr>
              <w:jc w:val="left"/>
            </w:pPr>
            <w:r>
              <w:rPr>
                <w:b/>
                <w:sz w:val="24"/>
              </w:rPr>
              <w:t xml:space="preserve">需要记录的问题</w:t>
            </w:r>
          </w:p>
        </w:tc>
      </w:tr>
      <w:tr>
        <w:tc>
          <w:tcPr>
            <w:tcW w:w="1353" w:type="dxa"/>
            <w:vAlign w:val="center"/>
          </w:tcPr>
          <w:p>
            <w:pPr>
              <w:jc w:val="left"/>
            </w:pPr>
            <w:r>
              <w:rPr>
                <w:sz w:val="24"/>
              </w:rPr>
              <w:t xml:space="preserve">合同</w:t>
            </w:r>
          </w:p>
        </w:tc>
        <w:tc>
          <w:tcPr>
            <w:tcW w:w="7671" w:type="dxa"/>
            <w:vAlign w:val="center"/>
          </w:tcPr>
          <w:p>
            <w:pPr>
              <w:jc w:val="left"/>
            </w:pPr>
            <w:r>
              <w:rPr>
                <w:sz w:val="24"/>
              </w:rPr>
              <w:t xml:space="preserve">是否为正式、持续或项目制合同</w:t>
            </w:r>
          </w:p>
        </w:tc>
      </w:tr>
      <w:tr>
        <w:tc>
          <w:tcPr>
            <w:tcW w:w="1353" w:type="dxa"/>
            <w:vAlign w:val="center"/>
          </w:tcPr>
          <w:p>
            <w:pPr>
              <w:jc w:val="left"/>
            </w:pPr>
            <w:r>
              <w:rPr>
                <w:sz w:val="24"/>
              </w:rPr>
              <w:t xml:space="preserve">工资</w:t>
            </w:r>
          </w:p>
        </w:tc>
        <w:tc>
          <w:tcPr>
            <w:tcW w:w="7671" w:type="dxa"/>
            <w:vAlign w:val="center"/>
          </w:tcPr>
          <w:p>
            <w:pPr>
              <w:jc w:val="left"/>
            </w:pPr>
            <w:r>
              <w:rPr>
                <w:sz w:val="24"/>
              </w:rPr>
              <w:t xml:space="preserve">工资是否达到法定最低工资，并与同工同酬原则比较</w:t>
            </w:r>
          </w:p>
        </w:tc>
      </w:tr>
      <w:tr>
        <w:tc>
          <w:tcPr>
            <w:tcW w:w="1353" w:type="dxa"/>
            <w:vAlign w:val="center"/>
          </w:tcPr>
          <w:p>
            <w:pPr>
              <w:jc w:val="left"/>
            </w:pPr>
            <w:r>
              <w:rPr>
                <w:sz w:val="24"/>
              </w:rPr>
              <w:t xml:space="preserve">工时</w:t>
            </w:r>
          </w:p>
        </w:tc>
        <w:tc>
          <w:tcPr>
            <w:tcW w:w="7671" w:type="dxa"/>
            <w:vAlign w:val="center"/>
          </w:tcPr>
          <w:p>
            <w:pPr>
              <w:jc w:val="left"/>
            </w:pPr>
            <w:r>
              <w:rPr>
                <w:sz w:val="24"/>
              </w:rPr>
              <w:t xml:space="preserve">实际工时和工作稳定性如何</w:t>
            </w:r>
          </w:p>
        </w:tc>
      </w:tr>
      <w:tr>
        <w:tc>
          <w:tcPr>
            <w:tcW w:w="1353" w:type="dxa"/>
            <w:vAlign w:val="center"/>
          </w:tcPr>
          <w:p>
            <w:pPr>
              <w:jc w:val="left"/>
            </w:pPr>
            <w:r>
              <w:rPr>
                <w:sz w:val="24"/>
              </w:rPr>
              <w:t xml:space="preserve">合理便利</w:t>
            </w:r>
          </w:p>
        </w:tc>
        <w:tc>
          <w:tcPr>
            <w:tcW w:w="7671" w:type="dxa"/>
            <w:vAlign w:val="center"/>
          </w:tcPr>
          <w:p>
            <w:pPr>
              <w:jc w:val="left"/>
            </w:pPr>
            <w:r>
              <w:rPr>
                <w:sz w:val="24"/>
              </w:rPr>
              <w:t xml:space="preserve">是否获得岗位调整、工具和沟通支持</w:t>
            </w:r>
          </w:p>
        </w:tc>
      </w:tr>
      <w:tr>
        <w:tc>
          <w:tcPr>
            <w:tcW w:w="1353" w:type="dxa"/>
            <w:vAlign w:val="center"/>
          </w:tcPr>
          <w:p>
            <w:pPr>
              <w:jc w:val="left"/>
            </w:pPr>
            <w:r>
              <w:rPr>
                <w:sz w:val="24"/>
              </w:rPr>
              <w:t xml:space="preserve">交通</w:t>
            </w:r>
          </w:p>
        </w:tc>
        <w:tc>
          <w:tcPr>
            <w:tcW w:w="7671" w:type="dxa"/>
            <w:vAlign w:val="center"/>
          </w:tcPr>
          <w:p>
            <w:pPr>
              <w:jc w:val="left"/>
            </w:pPr>
            <w:r>
              <w:rPr>
                <w:sz w:val="24"/>
              </w:rPr>
              <w:t xml:space="preserve">是否具备可持续的通勤安排</w:t>
            </w:r>
          </w:p>
        </w:tc>
      </w:tr>
      <w:tr>
        <w:tc>
          <w:tcPr>
            <w:tcW w:w="1353" w:type="dxa"/>
            <w:vAlign w:val="center"/>
          </w:tcPr>
          <w:p>
            <w:pPr>
              <w:jc w:val="left"/>
            </w:pPr>
            <w:r>
              <w:rPr>
                <w:sz w:val="24"/>
              </w:rPr>
              <w:t xml:space="preserve">支持</w:t>
            </w:r>
          </w:p>
        </w:tc>
        <w:tc>
          <w:tcPr>
            <w:tcW w:w="7671" w:type="dxa"/>
            <w:vAlign w:val="center"/>
          </w:tcPr>
          <w:p>
            <w:pPr>
              <w:jc w:val="left"/>
            </w:pPr>
            <w:r>
              <w:rPr>
                <w:sz w:val="24"/>
              </w:rPr>
              <w:t xml:space="preserve">是否提供Job</w:t>
            </w:r>
            <w:r>
              <w:rPr>
                <w:sz w:val="24"/>
              </w:rPr>
              <w:t xml:space="preserve"> Coach或其他工作支持</w:t>
            </w:r>
          </w:p>
        </w:tc>
      </w:tr>
      <w:tr>
        <w:tc>
          <w:tcPr>
            <w:tcW w:w="1353" w:type="dxa"/>
            <w:vAlign w:val="center"/>
          </w:tcPr>
          <w:p>
            <w:pPr>
              <w:jc w:val="left"/>
            </w:pPr>
            <w:r>
              <w:rPr>
                <w:sz w:val="24"/>
              </w:rPr>
              <w:t xml:space="preserve">环境</w:t>
            </w:r>
          </w:p>
        </w:tc>
        <w:tc>
          <w:tcPr>
            <w:tcW w:w="7671" w:type="dxa"/>
            <w:vAlign w:val="center"/>
          </w:tcPr>
          <w:p>
            <w:pPr>
              <w:jc w:val="left"/>
            </w:pPr>
            <w:r>
              <w:rPr>
                <w:sz w:val="24"/>
              </w:rPr>
              <w:t xml:space="preserve">同事与主管关系、职业安全和申诉渠道如何</w:t>
            </w:r>
          </w:p>
        </w:tc>
      </w:tr>
      <w:tr>
        <w:tc>
          <w:tcPr>
            <w:tcW w:w="1353" w:type="dxa"/>
            <w:vAlign w:val="center"/>
          </w:tcPr>
          <w:p>
            <w:pPr>
              <w:jc w:val="left"/>
            </w:pPr>
            <w:r>
              <w:rPr>
                <w:sz w:val="24"/>
              </w:rPr>
              <w:t xml:space="preserve">退出机制</w:t>
            </w:r>
          </w:p>
        </w:tc>
        <w:tc>
          <w:tcPr>
            <w:tcW w:w="7671" w:type="dxa"/>
            <w:vAlign w:val="center"/>
          </w:tcPr>
          <w:p>
            <w:pPr>
              <w:jc w:val="left"/>
            </w:pPr>
            <w:r>
              <w:rPr>
                <w:sz w:val="24"/>
              </w:rPr>
              <w:t xml:space="preserve">学生能否转换岗位或退出项目</w:t>
            </w:r>
          </w:p>
        </w:tc>
      </w:tr>
    </w:tbl>
    <w:p>
      <w:pPr>
        <w:spacing w:before="240"/>
      </w:pPr>
      <w:r>
        <w:t xml:space="preserve"> </w:t>
      </w:r>
    </w:p>
    <w:p>
      <w:r>
        <w:rPr/>
        <w:t xml:space="preserve">若只记录“已上岗”，就无法区分计时公益岗位、庇护性岗位、短期实习、长期合同工和自主创业，也无法判断学生究竟在何种工作条件下获得何种自主空间。</w:t>
      </w:r>
    </w:p>
    <w:p>
      <w:pPr>
        <w:spacing w:after="200"/>
      </w:pPr>
      <w:r>
        <w:t xml:space="preserve"> </w:t>
      </w:r>
    </w:p>
    <w:p>
      <w:r>
        <w:rPr>
          <w:b/>
        </w:rPr>
        <w:t xml:space="preserve">Job Coach不能只负责“教会学生工作”，还要降低工作环境和组织流程的障碍。</w:t>
      </w:r>
      <w:r>
        <w:rPr/>
        <w:t xml:space="preserve"> 有效支持至少包括前期职业兴趣与能力评估、与雇主沟通岗位任务、协商合理便利、逐步撤除支持、处理同事关系、交通安排和离职或转换岗位的衔接。Job</w:t>
      </w:r>
      <w:r>
        <w:rPr/>
        <w:t xml:space="preserve"> Coach也不应成为把学生永久隔离在普通同事之外的理由。</w:t>
      </w:r>
    </w:p>
    <w:p>
      <w:pPr>
        <w:spacing w:after="200"/>
      </w:pPr>
      <w:r>
        <w:t xml:space="preserve"> </w:t>
      </w:r>
    </w:p>
    <w:p>
      <w:r>
        <w:rPr/>
        <w:t xml:space="preserve">国际系统综述指出，智力障碍青年在全球竞争性就业中的比例仍然偏低，研究重点正转向支持竞争性就业的项目特征（Enticott &amp;</w:t>
      </w:r>
      <w:r>
        <w:rPr/>
        <w:t xml:space="preserve"> Dew，2026）。但仅凭这篇摘要无法细化马来西亚或吉隆坡的具体服务模型。地区研究仍须以本地机构的实际职责、资源配置和岗位结果为准。</w:t>
      </w:r>
    </w:p>
    <w:p>
      <w:pPr>
        <w:spacing w:after="200"/>
      </w:pPr>
      <w:r>
        <w:t xml:space="preserve"> </w:t>
      </w:r>
    </w:p>
    <w:p>
      <w:r>
        <w:rPr>
          <w:b/>
        </w:rPr>
        <w:t xml:space="preserve">企业参与是必要条件，却不是充分条件。</w:t>
      </w:r>
      <w:r>
        <w:rPr/>
        <w:t xml:space="preserve"> 上海已有企业与学校合作建设实训基地、开展技术指导和助推实习就业的政策与实践案例；奉贤通过16家见习基地将社区岗位纳入特殊青年职业体验（澎湃新闻，2020；上海市教育委员会，2024）。这些做法表明，企业既能参与课程开发，也能提供实训和岗位线索；但企业挂牌只是合作关系成立的证据，不是就业结果。</w:t>
      </w:r>
    </w:p>
    <w:p>
      <w:pPr>
        <w:spacing w:after="200"/>
      </w:pPr>
      <w:r>
        <w:t xml:space="preserve"> </w:t>
      </w:r>
    </w:p>
    <w:p>
      <w:r>
        <w:rPr/>
        <w:t xml:space="preserve">真正需要追踪的是：企业为学生提供了多少岗位，岗位是否符合职业偏好，带教由谁承担，合理便利如何落实，学生在毕业后是否继续留任，以及支持撤除后岗位能否稳定。没有这些数据，企业数量只能反映潜在资源，不能反映实际转化。</w:t>
      </w:r>
    </w:p>
    <w:p>
      <w:pPr>
        <w:spacing w:after="200"/>
      </w:pPr>
      <w:r>
        <w:t xml:space="preserve"> </w:t>
      </w:r>
    </w:p>
    <w:p>
      <w:pPr>
        <w:pStyle w:val="Heading2"/>
        <w:spacing w:before="0" w:after="200"/>
      </w:pPr>
      <w:r>
        <w:rPr>
          <w:b/>
          <w:sz w:val="36"/>
        </w:rPr>
        <w:t xml:space="preserve">六、两地制度差异明显，但现有证据不足以比较就业结果</w:t>
      </w:r>
    </w:p>
    <w:p>
      <w:r>
        <w:rPr>
          <w:b/>
        </w:rPr>
        <w:t xml:space="preserve">上海的可见优势在于明确课程、学段转衔和跨部门服务，而不是已经证明更高的开放就业率。</w:t>
      </w:r>
      <w:r>
        <w:rPr/>
        <w:t xml:space="preserve"> 2018年课程方案为特殊中等职业教育规定了课时、课程类型、个别化计划和职业转衔设计；上海政策又将教育、人社、残联及社区资源连接起来（上海市教育委员会，2018；上海市人民政府，2023）。奉贤中专据此形成四年专业课程、校内岗位基地、跟岗顶岗和社区见习的组合。</w:t>
      </w:r>
    </w:p>
    <w:p>
      <w:pPr>
        <w:spacing w:after="200"/>
      </w:pPr>
      <w:r>
        <w:t xml:space="preserve"> </w:t>
      </w:r>
    </w:p>
    <w:p>
      <w:r>
        <w:rPr/>
        <w:t xml:space="preserve">这一体系的意义在于，学校不是只提供孤立的职业体验，而是试图把课程、实践与外部岗位连接起来。其局限同样明确：公开资料主要呈现服务供给和学生经历，缺少按障碍类别、课程组别和企业类型分列的就业结果。因此，目前证据支持“上海具有较清晰的制度链”，不支持“上海必然取得更高开放就业率”。</w:t>
      </w:r>
    </w:p>
    <w:p>
      <w:pPr>
        <w:spacing w:after="200"/>
      </w:pPr>
      <w:r>
        <w:t xml:space="preserve"> </w:t>
      </w:r>
    </w:p>
    <w:p>
      <w:r>
        <w:rPr>
          <w:b/>
        </w:rPr>
        <w:t xml:space="preserve">马来西亚的可见优势是大都市劳动市场和TVET供给，弱点是特殊需要学生的资格、服务与结果数据尚未被完整打通。</w:t>
      </w:r>
      <w:r>
        <w:rPr/>
        <w:t xml:space="preserve"> 巴生谷汇聚服务业、制造业、零售、餐饮、酒店、物流和数字产业，理论上能够提供多样岗位；全国TVET、技能资格和残障就业政策也为转衔提供制度要素。但现有公开资料不足以确认这些要素如何落实到吉隆坡联邦直辖区的学校和机构，尤其无法确认六案是否获得SKM、是否进入开放就业，或是否持续获得工作支持。</w:t>
      </w:r>
    </w:p>
    <w:p>
      <w:pPr>
        <w:spacing w:after="200"/>
      </w:pPr>
      <w:r>
        <w:t xml:space="preserve"> </w:t>
      </w:r>
    </w:p>
    <w:p>
      <w:r>
        <w:rPr/>
        <w:t xml:space="preserve">因此，不能用“马来西亚TVET整体发展较快”代替“吉隆坡特殊需要学生的转衔成果较好”。全国制度可能构成资源基础，却不能自动消除地方层面的准入、资格和服务断点。</w:t>
      </w:r>
    </w:p>
    <w:p>
      <w:pPr>
        <w:spacing w:after="240"/>
      </w:pPr>
      <w:r>
        <w:t xml:space="preserve"> </w:t>
      </w:r>
    </w:p>
    <w:tbl>
      <w:tblPr>
        <w:tblW w:w="9025" w:type="dxa"/>
        <w:tblLook w:val="04A0" w:firstRow="1" w:lastRow="0" w:firstColumn="1" w:lastColumn="0" w:noHBand="0" w:noVBand="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20" w:type="dxa"/>
          <w:bottom w:w="80" w:type="dxa"/>
          <w:right w:w="120" w:type="dxa"/>
        </w:tblCellMar>
        <w:tblLayout w:type="fixed"/>
      </w:tblPr>
      <w:tblGrid>
        <w:gridCol w:w="1353"/>
        <w:gridCol w:w="3515"/>
        <w:gridCol w:w="4155"/>
      </w:tblGrid>
      <w:tr>
        <w:trPr>
          <w:tblHeader w:val="1"/>
        </w:trPr>
        <w:tc>
          <w:tcPr>
            <w:tcW w:w="1353" w:type="dxa"/>
            <w:vAlign w:val="center"/>
          </w:tcPr>
          <w:p>
            <w:pPr>
              <w:jc w:val="left"/>
            </w:pPr>
            <w:r>
              <w:rPr>
                <w:b/>
                <w:sz w:val="24"/>
              </w:rPr>
              <w:t xml:space="preserve">比较维度</w:t>
            </w:r>
          </w:p>
        </w:tc>
        <w:tc>
          <w:tcPr>
            <w:tcW w:w="3515" w:type="dxa"/>
            <w:vAlign w:val="center"/>
          </w:tcPr>
          <w:p>
            <w:pPr>
              <w:jc w:val="left"/>
            </w:pPr>
            <w:r>
              <w:rPr>
                <w:b/>
                <w:sz w:val="24"/>
              </w:rPr>
              <w:t xml:space="preserve">上海奉贤</w:t>
            </w:r>
          </w:p>
        </w:tc>
        <w:tc>
          <w:tcPr>
            <w:tcW w:w="4155" w:type="dxa"/>
            <w:vAlign w:val="center"/>
          </w:tcPr>
          <w:p>
            <w:pPr>
              <w:jc w:val="left"/>
            </w:pPr>
            <w:r>
              <w:rPr>
                <w:b/>
                <w:sz w:val="24"/>
              </w:rPr>
              <w:t xml:space="preserve">吉隆坡联邦直辖区／大吉隆坡都市区</w:t>
            </w:r>
          </w:p>
        </w:tc>
      </w:tr>
      <w:tr>
        <w:tc>
          <w:tcPr>
            <w:tcW w:w="1353" w:type="dxa"/>
            <w:vAlign w:val="center"/>
          </w:tcPr>
          <w:p>
            <w:pPr>
              <w:jc w:val="left"/>
            </w:pPr>
            <w:r>
              <w:rPr>
                <w:sz w:val="24"/>
              </w:rPr>
              <w:t xml:space="preserve">行政边界</w:t>
            </w:r>
          </w:p>
        </w:tc>
        <w:tc>
          <w:tcPr>
            <w:tcW w:w="3515" w:type="dxa"/>
            <w:vAlign w:val="center"/>
          </w:tcPr>
          <w:p>
            <w:pPr>
              <w:jc w:val="left"/>
            </w:pPr>
            <w:r>
              <w:rPr>
                <w:sz w:val="24"/>
              </w:rPr>
              <w:t xml:space="preserve">上海市奉贤区，可作为区级案例</w:t>
            </w:r>
          </w:p>
        </w:tc>
        <w:tc>
          <w:tcPr>
            <w:tcW w:w="4155" w:type="dxa"/>
            <w:vAlign w:val="center"/>
          </w:tcPr>
          <w:p>
            <w:pPr>
              <w:jc w:val="left"/>
            </w:pPr>
            <w:r>
              <w:rPr>
                <w:sz w:val="24"/>
              </w:rPr>
              <w:t xml:space="preserve">必须区分吉隆坡联邦直辖区、雪兰莪州和大吉隆坡</w:t>
            </w:r>
          </w:p>
        </w:tc>
      </w:tr>
      <w:tr>
        <w:tc>
          <w:tcPr>
            <w:tcW w:w="1353" w:type="dxa"/>
            <w:vAlign w:val="center"/>
          </w:tcPr>
          <w:p>
            <w:pPr>
              <w:jc w:val="left"/>
            </w:pPr>
            <w:r>
              <w:rPr>
                <w:sz w:val="24"/>
              </w:rPr>
              <w:t xml:space="preserve">中学—中职衔接</w:t>
            </w:r>
          </w:p>
        </w:tc>
        <w:tc>
          <w:tcPr>
            <w:tcW w:w="3515" w:type="dxa"/>
            <w:vAlign w:val="center"/>
          </w:tcPr>
          <w:p>
            <w:pPr>
              <w:jc w:val="left"/>
            </w:pPr>
            <w:r>
              <w:rPr>
                <w:sz w:val="24"/>
              </w:rPr>
              <w:t xml:space="preserve">有区属特教办学点、个别化教育和转衔要求</w:t>
            </w:r>
          </w:p>
        </w:tc>
        <w:tc>
          <w:tcPr>
            <w:tcW w:w="4155" w:type="dxa"/>
            <w:vAlign w:val="center"/>
          </w:tcPr>
          <w:p>
            <w:pPr>
              <w:jc w:val="left"/>
            </w:pPr>
            <w:r>
              <w:rPr>
                <w:sz w:val="24"/>
              </w:rPr>
              <w:t xml:space="preserve">有PPKI及特殊教育综合课程线索，但个案不足</w:t>
            </w:r>
          </w:p>
        </w:tc>
      </w:tr>
      <w:tr>
        <w:tc>
          <w:tcPr>
            <w:tcW w:w="1353" w:type="dxa"/>
            <w:vAlign w:val="center"/>
          </w:tcPr>
          <w:p>
            <w:pPr>
              <w:jc w:val="left"/>
            </w:pPr>
            <w:r>
              <w:rPr>
                <w:sz w:val="24"/>
              </w:rPr>
              <w:t xml:space="preserve">技能训练</w:t>
            </w:r>
          </w:p>
        </w:tc>
        <w:tc>
          <w:tcPr>
            <w:tcW w:w="3515" w:type="dxa"/>
            <w:vAlign w:val="center"/>
          </w:tcPr>
          <w:p>
            <w:pPr>
              <w:jc w:val="left"/>
            </w:pPr>
            <w:r>
              <w:rPr>
                <w:sz w:val="24"/>
              </w:rPr>
              <w:t xml:space="preserve">有烹饪营养、茶饮咖啡等课程和真实任务</w:t>
            </w:r>
          </w:p>
        </w:tc>
        <w:tc>
          <w:tcPr>
            <w:tcW w:w="4155" w:type="dxa"/>
            <w:vAlign w:val="center"/>
          </w:tcPr>
          <w:p>
            <w:pPr>
              <w:jc w:val="left"/>
            </w:pPr>
            <w:r>
              <w:rPr>
                <w:sz w:val="24"/>
              </w:rPr>
              <w:t xml:space="preserve">有TVET与技能体系，六案未获验证</w:t>
            </w:r>
          </w:p>
        </w:tc>
      </w:tr>
      <w:tr>
        <w:tc>
          <w:tcPr>
            <w:tcW w:w="1353" w:type="dxa"/>
            <w:vAlign w:val="center"/>
          </w:tcPr>
          <w:p>
            <w:pPr>
              <w:jc w:val="left"/>
            </w:pPr>
            <w:r>
              <w:rPr>
                <w:sz w:val="24"/>
              </w:rPr>
              <w:t xml:space="preserve">资格认证</w:t>
            </w:r>
          </w:p>
        </w:tc>
        <w:tc>
          <w:tcPr>
            <w:tcW w:w="3515" w:type="dxa"/>
            <w:vAlign w:val="center"/>
          </w:tcPr>
          <w:p>
            <w:pPr>
              <w:jc w:val="left"/>
            </w:pPr>
            <w:r>
              <w:rPr>
                <w:sz w:val="24"/>
              </w:rPr>
              <w:t xml:space="preserve">有课程和实训，上海材料未将奉贤课程等同SKM</w:t>
            </w:r>
          </w:p>
        </w:tc>
        <w:tc>
          <w:tcPr>
            <w:tcW w:w="4155" w:type="dxa"/>
            <w:vAlign w:val="center"/>
          </w:tcPr>
          <w:p>
            <w:pPr>
              <w:jc w:val="left"/>
            </w:pPr>
            <w:r>
              <w:rPr>
                <w:sz w:val="24"/>
              </w:rPr>
              <w:t xml:space="preserve">SKM属于技能资格，六案资格未核验</w:t>
            </w:r>
          </w:p>
        </w:tc>
      </w:tr>
      <w:tr>
        <w:tc>
          <w:tcPr>
            <w:tcW w:w="1353" w:type="dxa"/>
            <w:vAlign w:val="center"/>
          </w:tcPr>
          <w:p>
            <w:pPr>
              <w:jc w:val="left"/>
            </w:pPr>
            <w:r>
              <w:rPr>
                <w:sz w:val="24"/>
              </w:rPr>
              <w:t xml:space="preserve">就业过渡</w:t>
            </w:r>
          </w:p>
        </w:tc>
        <w:tc>
          <w:tcPr>
            <w:tcW w:w="3515" w:type="dxa"/>
            <w:vAlign w:val="center"/>
          </w:tcPr>
          <w:p>
            <w:pPr>
              <w:jc w:val="left"/>
            </w:pPr>
            <w:r>
              <w:rPr>
                <w:sz w:val="24"/>
              </w:rPr>
              <w:t xml:space="preserve">有实习、见习、“一人一策”台账</w:t>
            </w:r>
          </w:p>
        </w:tc>
        <w:tc>
          <w:tcPr>
            <w:tcW w:w="4155" w:type="dxa"/>
            <w:vAlign w:val="center"/>
          </w:tcPr>
          <w:p>
            <w:pPr>
              <w:jc w:val="left"/>
            </w:pPr>
            <w:r>
              <w:rPr>
                <w:sz w:val="24"/>
              </w:rPr>
              <w:t xml:space="preserve">Job</w:t>
            </w:r>
            <w:r>
              <w:rPr>
                <w:sz w:val="24"/>
              </w:rPr>
              <w:t xml:space="preserve"> Coach概念具有潜在价值，缺个案职责与结果</w:t>
            </w:r>
          </w:p>
        </w:tc>
      </w:tr>
      <w:tr>
        <w:tc>
          <w:tcPr>
            <w:tcW w:w="1353" w:type="dxa"/>
            <w:vAlign w:val="center"/>
          </w:tcPr>
          <w:p>
            <w:pPr>
              <w:jc w:val="left"/>
            </w:pPr>
            <w:r>
              <w:rPr>
                <w:sz w:val="24"/>
              </w:rPr>
              <w:t xml:space="preserve">岗位对接</w:t>
            </w:r>
          </w:p>
        </w:tc>
        <w:tc>
          <w:tcPr>
            <w:tcW w:w="3515" w:type="dxa"/>
            <w:vAlign w:val="center"/>
          </w:tcPr>
          <w:p>
            <w:pPr>
              <w:jc w:val="left"/>
            </w:pPr>
            <w:r>
              <w:rPr>
                <w:sz w:val="24"/>
              </w:rPr>
              <w:t xml:space="preserve">有企业见习基地和合作机制</w:t>
            </w:r>
          </w:p>
        </w:tc>
        <w:tc>
          <w:tcPr>
            <w:tcW w:w="4155" w:type="dxa"/>
            <w:vAlign w:val="center"/>
          </w:tcPr>
          <w:p>
            <w:pPr>
              <w:jc w:val="left"/>
            </w:pPr>
            <w:r>
              <w:rPr>
                <w:sz w:val="24"/>
              </w:rPr>
              <w:t xml:space="preserve">有庇护性、支持性或开放就业的潜在场景，六案未验证</w:t>
            </w:r>
          </w:p>
        </w:tc>
      </w:tr>
      <w:tr>
        <w:tc>
          <w:tcPr>
            <w:tcW w:w="1353" w:type="dxa"/>
            <w:vAlign w:val="center"/>
          </w:tcPr>
          <w:p>
            <w:pPr>
              <w:jc w:val="left"/>
            </w:pPr>
            <w:r>
              <w:rPr>
                <w:sz w:val="24"/>
              </w:rPr>
              <w:t xml:space="preserve">就业证据</w:t>
            </w:r>
          </w:p>
        </w:tc>
        <w:tc>
          <w:tcPr>
            <w:tcW w:w="3515" w:type="dxa"/>
            <w:vAlign w:val="center"/>
          </w:tcPr>
          <w:p>
            <w:pPr>
              <w:jc w:val="left"/>
            </w:pPr>
            <w:r>
              <w:rPr>
                <w:sz w:val="24"/>
              </w:rPr>
              <w:t xml:space="preserve">有培训、基地和学生经历，缺标准化结果</w:t>
            </w:r>
          </w:p>
        </w:tc>
        <w:tc>
          <w:tcPr>
            <w:tcW w:w="4155" w:type="dxa"/>
            <w:vAlign w:val="center"/>
          </w:tcPr>
          <w:p>
            <w:pPr>
              <w:jc w:val="left"/>
            </w:pPr>
            <w:r>
              <w:rPr>
                <w:sz w:val="24"/>
              </w:rPr>
              <w:t xml:space="preserve">六项均缺地点、资质、课程、证书和结果证据</w:t>
            </w:r>
          </w:p>
        </w:tc>
      </w:tr>
    </w:tbl>
    <w:p>
      <w:pPr>
        <w:spacing w:before="240"/>
      </w:pPr>
      <w:r>
        <w:t xml:space="preserve"> </w:t>
      </w:r>
    </w:p>
    <w:p>
      <w:r>
        <w:rPr/>
        <w:t xml:space="preserve">两地共同面对四项结构性难题：不同障碍类别学生的课程需求差异较大；学校课程与企业任务之间可能脱节；交通、无障碍、雇主偏见和合理便利会阻断岗位转化；培训结束后，工作支持又可能中断。上海已经通过制度文本和跨部门台账识别其中部分问题，马来西亚则需要先建立更清晰的项目编码和结果追踪。</w:t>
      </w:r>
    </w:p>
    <w:p>
      <w:pPr>
        <w:spacing w:after="200"/>
      </w:pPr>
      <w:r>
        <w:t xml:space="preserve"> </w:t>
      </w:r>
    </w:p>
    <w:p>
      <w:r>
        <w:rPr/>
        <w:t xml:space="preserve">但证据成熟度本身已经构成实质性差异。上海可以讨论“哪些中间环节尚未得到结果验证”，吉隆坡六案目前连主体、地点和运行状态都未获充分确认。将两者直接并列为“两种成熟模式”，会同时高估吉隆坡的验证程度，并掩盖上海仍有待补齐的结果数据。</w:t>
      </w:r>
    </w:p>
    <w:p>
      <w:pPr>
        <w:spacing w:after="200"/>
      </w:pPr>
      <w:r>
        <w:t xml:space="preserve"> </w:t>
      </w:r>
    </w:p>
    <w:p>
      <w:pPr>
        <w:pStyle w:val="Heading2"/>
        <w:spacing w:before="0" w:after="200"/>
      </w:pPr>
      <w:r>
        <w:rPr>
          <w:b/>
          <w:sz w:val="36"/>
        </w:rPr>
        <w:t xml:space="preserve">七、后续研究应先补齐底层数据，再讨论课程、资金与复制</w:t>
      </w:r>
    </w:p>
    <w:p>
      <w:r>
        <w:rPr>
          <w:b/>
        </w:rPr>
        <w:t xml:space="preserve">下一阶段的首要任务不是继续搜集宣传案例，而是为每一项服务建立可审计的最小数据集。</w:t>
      </w:r>
      <w:r>
        <w:rPr/>
        <w:t xml:space="preserve"> 对SMPKV Shah</w:t>
      </w:r>
      <w:r>
        <w:rPr/>
        <w:t xml:space="preserve"> Alam等六案，应分别向运营机构、教育部、技能主管机关和残联或社会福利机构发出统一核验表，至少包括：</w:t>
      </w:r>
    </w:p>
    <w:p>
      <w:pPr>
        <w:spacing w:after="240"/>
      </w:pPr>
      <w:r>
        <w:t xml:space="preserve"> </w:t>
      </w:r>
    </w:p>
    <w:tbl>
      <w:tblPr>
        <w:tblW w:w="9025" w:type="dxa"/>
        <w:tblLook w:val="04A0" w:firstRow="1" w:lastRow="0" w:firstColumn="1" w:lastColumn="0" w:noHBand="0" w:noVBand="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20" w:type="dxa"/>
          <w:bottom w:w="80" w:type="dxa"/>
          <w:right w:w="120" w:type="dxa"/>
        </w:tblCellMar>
        <w:tblLayout w:type="fixed"/>
      </w:tblPr>
      <w:tblGrid>
        <w:gridCol w:w="1353"/>
        <w:gridCol w:w="7671"/>
      </w:tblGrid>
      <w:tr>
        <w:trPr>
          <w:tblHeader w:val="1"/>
        </w:trPr>
        <w:tc>
          <w:tcPr>
            <w:tcW w:w="1353" w:type="dxa"/>
            <w:vAlign w:val="center"/>
          </w:tcPr>
          <w:p>
            <w:pPr>
              <w:jc w:val="left"/>
            </w:pPr>
            <w:r>
              <w:rPr>
                <w:b/>
                <w:sz w:val="24"/>
              </w:rPr>
              <w:t xml:space="preserve">信息类别</w:t>
            </w:r>
          </w:p>
        </w:tc>
        <w:tc>
          <w:tcPr>
            <w:tcW w:w="7671" w:type="dxa"/>
            <w:vAlign w:val="center"/>
          </w:tcPr>
          <w:p>
            <w:pPr>
              <w:jc w:val="left"/>
            </w:pPr>
            <w:r>
              <w:rPr>
                <w:b/>
                <w:sz w:val="24"/>
              </w:rPr>
              <w:t xml:space="preserve">最低核验内容</w:t>
            </w:r>
          </w:p>
        </w:tc>
      </w:tr>
      <w:tr>
        <w:tc>
          <w:tcPr>
            <w:tcW w:w="1353" w:type="dxa"/>
            <w:vAlign w:val="center"/>
          </w:tcPr>
          <w:p>
            <w:pPr>
              <w:jc w:val="left"/>
            </w:pPr>
            <w:r>
              <w:rPr>
                <w:sz w:val="24"/>
              </w:rPr>
              <w:t xml:space="preserve">主体与地点</w:t>
            </w:r>
          </w:p>
        </w:tc>
        <w:tc>
          <w:tcPr>
            <w:tcW w:w="7671" w:type="dxa"/>
            <w:vAlign w:val="center"/>
          </w:tcPr>
          <w:p>
            <w:pPr>
              <w:jc w:val="left"/>
            </w:pPr>
            <w:r>
              <w:rPr>
                <w:sz w:val="24"/>
              </w:rPr>
              <w:t xml:space="preserve">注册名称、运营主体、注册号、州属、是否位于吉隆坡联邦直辖区</w:t>
            </w:r>
          </w:p>
        </w:tc>
      </w:tr>
      <w:tr>
        <w:tc>
          <w:tcPr>
            <w:tcW w:w="1353" w:type="dxa"/>
            <w:vAlign w:val="center"/>
          </w:tcPr>
          <w:p>
            <w:pPr>
              <w:jc w:val="left"/>
            </w:pPr>
            <w:r>
              <w:rPr>
                <w:sz w:val="24"/>
              </w:rPr>
              <w:t xml:space="preserve">对象与准入</w:t>
            </w:r>
          </w:p>
        </w:tc>
        <w:tc>
          <w:tcPr>
            <w:tcW w:w="7671" w:type="dxa"/>
            <w:vAlign w:val="center"/>
          </w:tcPr>
          <w:p>
            <w:pPr>
              <w:jc w:val="left"/>
            </w:pPr>
            <w:r>
              <w:rPr>
                <w:sz w:val="24"/>
              </w:rPr>
              <w:t xml:space="preserve">服务年龄、障碍类别、入学或转衔条件</w:t>
            </w:r>
          </w:p>
        </w:tc>
      </w:tr>
      <w:tr>
        <w:tc>
          <w:tcPr>
            <w:tcW w:w="1353" w:type="dxa"/>
            <w:vAlign w:val="center"/>
          </w:tcPr>
          <w:p>
            <w:pPr>
              <w:jc w:val="left"/>
            </w:pPr>
            <w:r>
              <w:rPr>
                <w:sz w:val="24"/>
              </w:rPr>
              <w:t xml:space="preserve">课程与教学</w:t>
            </w:r>
          </w:p>
        </w:tc>
        <w:tc>
          <w:tcPr>
            <w:tcW w:w="7671" w:type="dxa"/>
            <w:vAlign w:val="center"/>
          </w:tcPr>
          <w:p>
            <w:pPr>
              <w:jc w:val="left"/>
            </w:pPr>
            <w:r>
              <w:rPr>
                <w:sz w:val="24"/>
              </w:rPr>
              <w:t xml:space="preserve">课程表、教学时数、个别化支持、实训地点</w:t>
            </w:r>
          </w:p>
        </w:tc>
      </w:tr>
      <w:tr>
        <w:tc>
          <w:tcPr>
            <w:tcW w:w="1353" w:type="dxa"/>
            <w:vAlign w:val="center"/>
          </w:tcPr>
          <w:p>
            <w:pPr>
              <w:jc w:val="left"/>
            </w:pPr>
            <w:r>
              <w:rPr>
                <w:sz w:val="24"/>
              </w:rPr>
              <w:t xml:space="preserve">资格</w:t>
            </w:r>
          </w:p>
        </w:tc>
        <w:tc>
          <w:tcPr>
            <w:tcW w:w="7671" w:type="dxa"/>
            <w:vAlign w:val="center"/>
          </w:tcPr>
          <w:p>
            <w:pPr>
              <w:jc w:val="left"/>
            </w:pPr>
            <w:r>
              <w:rPr>
                <w:sz w:val="24"/>
              </w:rPr>
              <w:t xml:space="preserve">课程是否注册、是否可参加SKM评估、评估机构及颁证主体</w:t>
            </w:r>
          </w:p>
        </w:tc>
      </w:tr>
      <w:tr>
        <w:tc>
          <w:tcPr>
            <w:tcW w:w="1353" w:type="dxa"/>
            <w:vAlign w:val="center"/>
          </w:tcPr>
          <w:p>
            <w:pPr>
              <w:jc w:val="left"/>
            </w:pPr>
            <w:r>
              <w:rPr>
                <w:sz w:val="24"/>
              </w:rPr>
              <w:t xml:space="preserve">就业服务</w:t>
            </w:r>
          </w:p>
        </w:tc>
        <w:tc>
          <w:tcPr>
            <w:tcW w:w="7671" w:type="dxa"/>
            <w:vAlign w:val="center"/>
          </w:tcPr>
          <w:p>
            <w:pPr>
              <w:jc w:val="left"/>
            </w:pPr>
            <w:r>
              <w:rPr>
                <w:sz w:val="24"/>
              </w:rPr>
              <w:t xml:space="preserve">Job</w:t>
            </w:r>
            <w:r>
              <w:rPr>
                <w:sz w:val="24"/>
              </w:rPr>
              <w:t xml:space="preserve"> Coach职责、企业合作、岗位匹配、合理便利</w:t>
            </w:r>
          </w:p>
        </w:tc>
      </w:tr>
      <w:tr>
        <w:tc>
          <w:tcPr>
            <w:tcW w:w="1353" w:type="dxa"/>
            <w:vAlign w:val="center"/>
          </w:tcPr>
          <w:p>
            <w:pPr>
              <w:jc w:val="left"/>
            </w:pPr>
            <w:r>
              <w:rPr>
                <w:sz w:val="24"/>
              </w:rPr>
              <w:t xml:space="preserve">结果</w:t>
            </w:r>
          </w:p>
        </w:tc>
        <w:tc>
          <w:tcPr>
            <w:tcW w:w="7671" w:type="dxa"/>
            <w:vAlign w:val="center"/>
          </w:tcPr>
          <w:p>
            <w:pPr>
              <w:jc w:val="left"/>
            </w:pPr>
            <w:r>
              <w:rPr>
                <w:sz w:val="24"/>
              </w:rPr>
              <w:t xml:space="preserve">结业、获证、受雇、持续就业、工资、岗位类型及数据截止日期</w:t>
            </w:r>
          </w:p>
        </w:tc>
      </w:tr>
      <w:tr>
        <w:tc>
          <w:tcPr>
            <w:tcW w:w="1353" w:type="dxa"/>
            <w:vAlign w:val="center"/>
          </w:tcPr>
          <w:p>
            <w:pPr>
              <w:jc w:val="left"/>
            </w:pPr>
            <w:r>
              <w:rPr>
                <w:sz w:val="24"/>
              </w:rPr>
              <w:t xml:space="preserve">同意与伦理</w:t>
            </w:r>
          </w:p>
        </w:tc>
        <w:tc>
          <w:tcPr>
            <w:tcW w:w="7671" w:type="dxa"/>
            <w:vAlign w:val="center"/>
          </w:tcPr>
          <w:p>
            <w:pPr>
              <w:jc w:val="left"/>
            </w:pPr>
            <w:r>
              <w:rPr>
                <w:sz w:val="24"/>
              </w:rPr>
              <w:t xml:space="preserve">学生或监护人同意、数据脱敏、隐私保护</w:t>
            </w:r>
          </w:p>
        </w:tc>
      </w:tr>
    </w:tbl>
    <w:p>
      <w:pPr>
        <w:spacing w:before="240"/>
      </w:pPr>
      <w:r>
        <w:t xml:space="preserve"> </w:t>
      </w:r>
    </w:p>
    <w:p>
      <w:r>
        <w:rPr/>
        <w:t xml:space="preserve">所有比例均须同时报告分母、分子、统计时点、数据来源和缺失值，不能只公布“成功就业人数”。若分母来自培训参与者，而分子来自获得证书或接受岗位安置的人，结论也会发生变化。比例只有在统一分母、统一时段和统一结果定义之后才有可比性。</w:t>
      </w:r>
    </w:p>
    <w:p>
      <w:pPr>
        <w:spacing w:after="200"/>
      </w:pPr>
      <w:r>
        <w:t xml:space="preserve"> </w:t>
      </w:r>
    </w:p>
    <w:p>
      <w:r>
        <w:rPr>
          <w:b/>
        </w:rPr>
        <w:t xml:space="preserve">课程评价应从“活动是否发生”转向“任务是否可迁移、岗位是否可持续”。</w:t>
      </w:r>
      <w:r>
        <w:rPr/>
        <w:t xml:space="preserve"> 上海奉贤的烹饪、茶饮、洗车和档案任务贴近真实生活，可以延伸出菜单准备、清洁流程、顾客沟通、时间管理和质量控制等可观察技能。评价不宜只记录“学生是否完成作品”，还应记录任务能否从校内迁移至社区企业、需要何种提示、能否独立完成、发生错误的频次，以及支持撤除后的稳定性。</w:t>
      </w:r>
    </w:p>
    <w:p>
      <w:pPr>
        <w:spacing w:after="200"/>
      </w:pPr>
      <w:r>
        <w:t xml:space="preserve"> </w:t>
      </w:r>
    </w:p>
    <w:p>
      <w:r>
        <w:rPr/>
        <w:t xml:space="preserve">马来西亚相关项目若取得材料，可以采用“校内模拟—社区见习—支持性实习—竞争性岗位”四段式观察。每一段都应记录学生自主程度、环境调整和工作结果，而不是只标记是否进入工作场所。这样才可能区分真实能力提升、短期活动参与与长期就业转化。</w:t>
      </w:r>
    </w:p>
    <w:p>
      <w:pPr>
        <w:spacing w:after="200"/>
      </w:pPr>
      <w:r>
        <w:t xml:space="preserve"> </w:t>
      </w:r>
    </w:p>
    <w:p>
      <w:r>
        <w:rPr>
          <w:b/>
        </w:rPr>
        <w:t xml:space="preserve">就业支持的评价必须把“安置”与“稳定”分开。</w:t>
      </w:r>
      <w:r>
        <w:rPr/>
        <w:t xml:space="preserve"> 建议统一追踪毕业后3、6和12个月的合同类型、周工时、时薪或月薪、合理便利、Job</w:t>
      </w:r>
      <w:r>
        <w:rPr/>
        <w:t xml:space="preserve"> Coach支持频次、岗位变动、离职原因和学生主观工作体验。工资比较至少应区分最低工资、法定标准、同工同酬及机构内部工资水平。</w:t>
      </w:r>
    </w:p>
    <w:p>
      <w:pPr>
        <w:spacing w:after="200"/>
      </w:pPr>
      <w:r>
        <w:t xml:space="preserve"> </w:t>
      </w:r>
    </w:p>
    <w:p>
      <w:r>
        <w:rPr/>
        <w:t xml:space="preserve">研究还应记录岗位是在开放市场、庇护工场还是自营／家庭工作中形成，避免把所有“有薪”形式合并为竞争性就业。对无法公开姓名和地址的弱势学生，应建立去标识化纵向编号，并在数据共享前取得伦理批准与监护人同意。只有这些治理条件满足后，学生层面的纵向研究才具备可行性。</w:t>
      </w:r>
    </w:p>
    <w:p>
      <w:pPr>
        <w:spacing w:after="200"/>
      </w:pPr>
      <w:r>
        <w:t xml:space="preserve"> </w:t>
      </w:r>
    </w:p>
    <w:p>
      <w:r>
        <w:rPr>
          <w:b/>
        </w:rPr>
        <w:t xml:space="preserve">政策层面的优先事项是建立“资格—服务—结果”的可追溯链条。</w:t>
      </w:r>
      <w:r>
        <w:rPr/>
        <w:t xml:space="preserve"> 上海可进一步公开按障碍类别和课程组别分列的毕业去向、证书、岗位质量及留存率，以检验现有课程和跨部门服务是否真正转化为开放就业。吉隆坡都市区则应先完成基础编码：明确哪些机构位于吉隆坡联邦直辖区，哪些仅属于雪兰莪或大吉隆坡；确认哪些机构有权提供TVET和SKM评估；再建立跨部门学生服务编号，打通教育、技能、残障和就业数据。</w:t>
      </w:r>
    </w:p>
    <w:p>
      <w:pPr>
        <w:spacing w:after="200"/>
      </w:pPr>
      <w:r>
        <w:t xml:space="preserve"> </w:t>
      </w:r>
    </w:p>
    <w:p>
      <w:r>
        <w:rPr/>
        <w:t xml:space="preserve">跨境交流最可借鉴的也不是直接复制课程，而是复制三项制度能力：以个别化计划连接课程，以真实任务连接实训，以标准化结果检验转衔。若缺少统一口径和公开数据，任何“模式”都只能说明局部服务曾经存在，不能证明其可以稳定复制。</w:t>
      </w:r>
    </w:p>
    <w:p>
      <w:pPr>
        <w:spacing w:after="200"/>
      </w:pPr>
      <w:r>
        <w:t xml:space="preserve"> </w:t>
      </w:r>
    </w:p>
    <w:p>
      <w:pPr>
        <w:pStyle w:val="Heading2"/>
        <w:spacing w:before="0" w:after="200"/>
      </w:pPr>
      <w:r>
        <w:rPr>
          <w:b/>
          <w:sz w:val="36"/>
        </w:rPr>
        <w:t xml:space="preserve">结论：上海的优势在制度可见，吉隆坡最需要的则是把案例变成可核验的数据</w:t>
      </w:r>
    </w:p>
    <w:p>
      <w:r>
        <w:rPr/>
        <w:t xml:space="preserve">上海与吉隆坡都市区的比较不应被写成“一个有体系、一个没有体系”，而应被准确表述为：</w:t>
      </w:r>
      <w:r>
        <w:rPr>
          <w:b/>
        </w:rPr>
        <w:t xml:space="preserve">上海已经呈现较可见的课程、实训、跨部门服务和追踪框架，但其开放就业质量仍待结果数据检验；吉隆坡都市区具备TVET与残障政策的制度元素，但指定六案的主体、资格、地点、课程、支持和结果均未在本次公开材料中获得充分核验。</w:t>
      </w:r>
    </w:p>
    <w:p>
      <w:pPr>
        <w:spacing w:after="200"/>
      </w:pPr>
      <w:r>
        <w:t xml:space="preserve"> </w:t>
      </w:r>
    </w:p>
    <w:p>
      <w:r>
        <w:rPr/>
        <w:t xml:space="preserve">奉贤中专的四年专业课程、“认知—跟岗—顶岗”实践、校内“心源小舍”和社区见习，可以作为课程、真实工作与就业服务衔接的地方案例。其价值不在证明某项职业活动天然适合所有特殊需要学生，而在于展示了学校如何把工作任务转化为课程，再尝试连接社区岗位。与此同时，上海公开资料仍主要描述服务供给和学生经历，尚不足以证明长期开放就业结果。</w:t>
      </w:r>
    </w:p>
    <w:p>
      <w:pPr>
        <w:spacing w:after="200"/>
      </w:pPr>
      <w:r>
        <w:t xml:space="preserve"> </w:t>
      </w:r>
    </w:p>
    <w:p>
      <w:r>
        <w:rPr/>
        <w:t xml:space="preserve">对于SMPKV Shah</w:t>
      </w:r>
      <w:r>
        <w:rPr/>
        <w:t xml:space="preserve"> Alam等六案，最负责任的结论不是断言其无效，而是标明“无法核验”。尤其不能把技能培训写成已取得SKM，把实习或岗位安置写成稳定就业，把庇护性工作写成开放就业，也不能因莎阿南位于巴生谷便将其归入吉隆坡联邦直辖区。证据空白本身是现阶段最重要的研究发现，它说明区域服务可能大量存在，却尚未形成可以比较、审计和复制的数据基础。</w:t>
      </w:r>
    </w:p>
    <w:p>
      <w:pPr>
        <w:spacing w:after="200"/>
      </w:pPr>
      <w:r>
        <w:t xml:space="preserve"> </w:t>
      </w:r>
    </w:p>
    <w:p>
      <w:r>
        <w:rPr/>
        <w:t xml:space="preserve">未来的合作研究应优先建立统一的学生转衔编码、资格与证书核验表、Job</w:t>
      </w:r>
      <w:r>
        <w:rPr/>
        <w:t xml:space="preserve"> Coach职责清单，以及3—12个月就业质量和留存追踪。只有完成这些底层工作，才有可能从“训练了谁”进一步回答“谁获得了何种工作、持续多久、工作条件如何”。</w:t>
      </w:r>
    </w:p>
    <w:p>
      <w:pPr>
        <w:spacing w:after="200"/>
      </w:pPr>
      <w:r>
        <w:t xml:space="preserve"> </w:t>
      </w:r>
    </w:p>
    <w:p>
      <w:pPr>
        <w:pStyle w:val="Heading2"/>
        <w:spacing w:before="0" w:after="200"/>
      </w:pPr>
      <w:r>
        <w:rPr>
          <w:b/>
          <w:sz w:val="36"/>
        </w:rPr>
        <w:t xml:space="preserve">引用来源</w:t>
      </w:r>
    </w:p>
    <w:p>
      <w:r>
        <w:rPr/>
        <w:t xml:space="preserve">[</w:t>
      </w:r>
      <w:r>
        <w:rPr/>
        <w:t xml:space="preserve">1] 上海市教育委员会. (2018). </w:t>
      </w:r>
      <w:r>
        <w:rPr>
          <w:i/>
        </w:rPr>
        <w:t xml:space="preserve">上海市特殊中等职业教育学校（班）课程方案（试行稿）</w:t>
      </w:r>
      <w:r>
        <w:rPr/>
        <w:t xml:space="preserve">（沪教委基〔2018〕47号）. </w:t>
      </w:r>
      <w:r>
        <w:rPr>
          <w:color w:val="0563C1"/>
        </w:rPr>
        <w:t xml:space="preserve">https://edu.sh.gov.cn/cmsres/eb/ebde807510854873a785ae2144b2914d/4bdde76d3ea82548b6afcb7f286bad6d.doc</w:t>
      </w:r>
    </w:p>
    <w:p>
      <w:pPr>
        <w:spacing w:after="200"/>
      </w:pPr>
      <w:r>
        <w:t xml:space="preserve"> </w:t>
      </w:r>
    </w:p>
    <w:p>
      <w:pPr>
        <w:pStyle w:val="Quote"/>
        <w:pBdr>
          <w:left w:val="single" w:color="BFBFBF" w:sz="12" w:space="8"/>
        </w:pBdr>
        <w:ind w:left="300"/>
      </w:pPr>
      <w:r>
        <w:rPr/>
        <w:t xml:space="preserve">“特殊中等职业教育的课程分为公共基础课程、专业课程和康复课程。”</w:t>
      </w:r>
    </w:p>
    <w:p>
      <w:pPr>
        <w:spacing w:after="200"/>
      </w:pPr>
      <w:r>
        <w:t xml:space="preserve"> </w:t>
      </w:r>
    </w:p>
    <w:p>
      <w:r>
        <w:rPr/>
        <w:t xml:space="preserve">[</w:t>
      </w:r>
      <w:r>
        <w:rPr/>
        <w:t xml:space="preserve">2] 上海市教育委员会. (2024). </w:t>
      </w:r>
      <w:r>
        <w:rPr>
          <w:i/>
        </w:rPr>
        <w:t xml:space="preserve">对市政协十四届二次会议第0001号政协提案的答复</w:t>
      </w:r>
      <w:r>
        <w:rPr/>
        <w:t xml:space="preserve">. </w:t>
      </w:r>
      <w:r>
        <w:rPr>
          <w:color w:val="0563C1"/>
        </w:rPr>
        <w:t xml:space="preserve">https://edu.sh.gov.cn/xxgk2_zhzw_jyta_02/20240912/d88eb16b585b4fe2a89b7d4feb7d337d.html</w:t>
      </w:r>
    </w:p>
    <w:p>
      <w:pPr>
        <w:spacing w:after="200"/>
      </w:pPr>
      <w:r>
        <w:t xml:space="preserve"> </w:t>
      </w:r>
    </w:p>
    <w:p>
      <w:pPr>
        <w:pStyle w:val="Quote"/>
        <w:pBdr>
          <w:left w:val="single" w:color="BFBFBF" w:sz="12" w:space="8"/>
        </w:pBdr>
        <w:ind w:left="300"/>
      </w:pPr>
      <w:r>
        <w:rPr/>
        <w:t xml:space="preserve">“在各区设立至少1个区属特殊职业教育办学点，为有入学需要的智力障碍、脑瘫、自闭症等残疾学生就近入学接受高中阶段教育提供便利。”</w:t>
      </w:r>
    </w:p>
    <w:p>
      <w:pPr>
        <w:spacing w:after="200"/>
      </w:pPr>
      <w:r>
        <w:t xml:space="preserve"> </w:t>
      </w:r>
    </w:p>
    <w:p>
      <w:r>
        <w:rPr/>
        <w:t xml:space="preserve">[</w:t>
      </w:r>
      <w:r>
        <w:rPr/>
        <w:t xml:space="preserve">3] 上海市人民政府. (2023). </w:t>
      </w:r>
      <w:r>
        <w:rPr>
          <w:i/>
        </w:rPr>
        <w:t xml:space="preserve">上海市促进残疾人就业行动方案（2023—2024年）</w:t>
      </w:r>
      <w:r>
        <w:rPr/>
        <w:t xml:space="preserve">. </w:t>
      </w:r>
      <w:r>
        <w:rPr>
          <w:color w:val="0563C1"/>
        </w:rPr>
        <w:t xml:space="preserve">https://www.shanghai.gov.cn/cmsres/72/72da53f40ba24cac8f1644c25cbaf272/c7d555bb84b3486831c6ba1bf93e7a5b.pdf</w:t>
      </w:r>
    </w:p>
    <w:p>
      <w:pPr>
        <w:spacing w:after="200"/>
      </w:pPr>
      <w:r>
        <w:t xml:space="preserve"> </w:t>
      </w:r>
    </w:p>
    <w:p>
      <w:pPr>
        <w:pStyle w:val="Quote"/>
        <w:pBdr>
          <w:left w:val="single" w:color="BFBFBF" w:sz="12" w:space="8"/>
        </w:pBdr>
        <w:ind w:left="300"/>
      </w:pPr>
      <w:r>
        <w:rPr/>
        <w:t xml:space="preserve">“建立‘一人一策’就业服务台账，开展‘一对一’精准服务。”</w:t>
      </w:r>
    </w:p>
    <w:p>
      <w:pPr>
        <w:spacing w:after="200"/>
      </w:pPr>
      <w:r>
        <w:t xml:space="preserve"> </w:t>
      </w:r>
    </w:p>
    <w:p>
      <w:r>
        <w:rPr/>
        <w:t xml:space="preserve">[</w:t>
      </w:r>
      <w:r>
        <w:rPr/>
        <w:t xml:space="preserve">4] 上海市奉贤区人民政府. (2023, June 7). </w:t>
      </w:r>
      <w:r>
        <w:rPr>
          <w:i/>
        </w:rPr>
        <w:t xml:space="preserve">校内的“一杯咖啡”，能帮助他们通往“普通人的生活”吗？</w:t>
      </w:r>
      <w:r>
        <w:rPr/>
        <w:t xml:space="preserve"> </w:t>
      </w:r>
      <w:r>
        <w:rPr>
          <w:color w:val="0563C1"/>
        </w:rPr>
        <w:t xml:space="preserve">https://www.fengxian.gov.cn/gzms/20230607/44579.html</w:t>
      </w:r>
    </w:p>
    <w:p>
      <w:pPr>
        <w:spacing w:after="200"/>
      </w:pPr>
      <w:r>
        <w:t xml:space="preserve"> </w:t>
      </w:r>
    </w:p>
    <w:p>
      <w:pPr>
        <w:pStyle w:val="Quote"/>
        <w:pBdr>
          <w:left w:val="single" w:color="BFBFBF" w:sz="12" w:space="8"/>
        </w:pBdr>
        <w:ind w:left="300"/>
      </w:pPr>
      <w:r>
        <w:rPr/>
        <w:t xml:space="preserve">“以‘认知、跟岗、顶岗’实习三步走为指导，实现特教中职学生的多情境社会融合。”</w:t>
      </w:r>
    </w:p>
    <w:p>
      <w:pPr>
        <w:spacing w:after="200"/>
      </w:pPr>
      <w:r>
        <w:t xml:space="preserve"> </w:t>
      </w:r>
    </w:p>
    <w:p>
      <w:r>
        <w:rPr/>
        <w:t xml:space="preserve">[</w:t>
      </w:r>
      <w:r>
        <w:rPr/>
        <w:t xml:space="preserve">5] 奉贤中等专业学校. (2021, December). </w:t>
      </w:r>
      <w:r>
        <w:rPr>
          <w:i/>
        </w:rPr>
        <w:t xml:space="preserve">奉贤中等专业学校开辟特教中职学生岗位认知实践基地“心源小舍”</w:t>
      </w:r>
      <w:r>
        <w:rPr/>
        <w:t xml:space="preserve">. </w:t>
      </w:r>
      <w:r>
        <w:rPr>
          <w:color w:val="0563C1"/>
        </w:rPr>
        <w:t xml:space="preserve">https://mp.weixin.qq.com/s?__biz=MzA4OTU0MzA5Mg==&amp;mid=2661288579&amp;idx=2&amp;sn=31d02c0f6c17d961050f654f0a9ce839</w:t>
      </w:r>
    </w:p>
    <w:p>
      <w:pPr>
        <w:spacing w:after="200"/>
      </w:pPr>
      <w:r>
        <w:t xml:space="preserve"> </w:t>
      </w:r>
    </w:p>
    <w:p>
      <w:pPr>
        <w:pStyle w:val="Quote"/>
        <w:pBdr>
          <w:left w:val="single" w:color="BFBFBF" w:sz="12" w:space="8"/>
        </w:pBdr>
        <w:ind w:left="300"/>
      </w:pPr>
      <w:r>
        <w:rPr/>
        <w:t xml:space="preserve">“将岗位工作转变为课程教学和技能实践，以‘认知、跟岗、顶岗’实习三步走为指导方针。”</w:t>
      </w:r>
    </w:p>
    <w:p>
      <w:pPr>
        <w:spacing w:after="200"/>
      </w:pPr>
      <w:r>
        <w:t xml:space="preserve"> </w:t>
      </w:r>
    </w:p>
    <w:p>
      <w:r>
        <w:rPr/>
        <w:t xml:space="preserve">[</w:t>
      </w:r>
      <w:r>
        <w:rPr/>
        <w:t xml:space="preserve">6] 奉贤中等专业学校. (2025). </w:t>
      </w:r>
      <w:r>
        <w:rPr>
          <w:i/>
        </w:rPr>
        <w:t xml:space="preserve">2025年奉贤区九年级随班就读学生职业体验活动——中职特教体验 职业梦想启蒙</w:t>
      </w:r>
      <w:r>
        <w:rPr/>
        <w:t xml:space="preserve">. </w:t>
      </w:r>
      <w:r>
        <w:rPr>
          <w:color w:val="0563C1"/>
        </w:rPr>
        <w:t xml:space="preserve">https://mp.weixin.qq.com/s?__biz=MzU1Mjk2NTc5Mg==&amp;mid=2247516103&amp;idx=1&amp;sn=8b6a3f517152cc5d35c346e1e5d86f75</w:t>
      </w:r>
    </w:p>
    <w:p>
      <w:pPr>
        <w:spacing w:after="200"/>
      </w:pPr>
      <w:r>
        <w:t xml:space="preserve"> </w:t>
      </w:r>
    </w:p>
    <w:p>
      <w:pPr>
        <w:pStyle w:val="Quote"/>
        <w:pBdr>
          <w:left w:val="single" w:color="BFBFBF" w:sz="12" w:space="8"/>
        </w:pBdr>
        <w:ind w:left="300"/>
      </w:pPr>
      <w:r>
        <w:rPr/>
        <w:t xml:space="preserve">“中职特教班从2017年开办……到现在95位在校特教学生。”</w:t>
      </w:r>
    </w:p>
    <w:p>
      <w:pPr>
        <w:spacing w:after="200"/>
      </w:pPr>
      <w:r>
        <w:t xml:space="preserve"> </w:t>
      </w:r>
    </w:p>
    <w:p>
      <w:r>
        <w:rPr/>
        <w:t xml:space="preserve">[</w:t>
      </w:r>
      <w:r>
        <w:rPr/>
        <w:t xml:space="preserve">7] 澎湃新闻. (2020, September 28). </w:t>
      </w:r>
      <w:r>
        <w:rPr>
          <w:i/>
        </w:rPr>
        <w:t xml:space="preserve">半日洗车员、档案员体验，特殊青年的职业道路，为你铺就了</w:t>
      </w:r>
      <w:r>
        <w:rPr/>
        <w:t xml:space="preserve">. </w:t>
      </w:r>
      <w:r>
        <w:rPr>
          <w:color w:val="0563C1"/>
        </w:rPr>
        <w:t xml:space="preserve">https://m.thepaper.cn/baijiahao_9385196</w:t>
      </w:r>
    </w:p>
    <w:p>
      <w:pPr>
        <w:spacing w:after="200"/>
      </w:pPr>
      <w:r>
        <w:t xml:space="preserve"> </w:t>
      </w:r>
    </w:p>
    <w:p>
      <w:pPr>
        <w:pStyle w:val="Quote"/>
        <w:pBdr>
          <w:left w:val="single" w:color="BFBFBF" w:sz="12" w:space="8"/>
        </w:pBdr>
        <w:ind w:left="300"/>
      </w:pPr>
      <w:r>
        <w:rPr/>
        <w:t xml:space="preserve">“为即将踏入社会的以及失业、待业的35周岁以下特殊青年服务，提供职业见习与就业的机会。”</w:t>
      </w:r>
    </w:p>
    <w:p>
      <w:pPr>
        <w:spacing w:after="200"/>
      </w:pPr>
      <w:r>
        <w:t xml:space="preserve"> </w:t>
      </w:r>
    </w:p>
    <w:p>
      <w:r>
        <w:rPr/>
        <w:t xml:space="preserve">[</w:t>
      </w:r>
      <w:r>
        <w:rPr/>
        <w:t xml:space="preserve">8] 中国新闻网. (2010, November 19). </w:t>
      </w:r>
      <w:r>
        <w:rPr>
          <w:i/>
        </w:rPr>
        <w:t xml:space="preserve">“大吉隆坡”计划明年开跑 10年打造宜居城市</w:t>
      </w:r>
      <w:r>
        <w:rPr/>
        <w:t xml:space="preserve">. </w:t>
      </w:r>
      <w:r>
        <w:rPr>
          <w:color w:val="0563C1"/>
        </w:rPr>
        <w:t xml:space="preserve">https://www.chinanews.com.cn/gj/2011/05-11/3032294.shtml</w:t>
      </w:r>
    </w:p>
    <w:p>
      <w:pPr>
        <w:spacing w:after="200"/>
      </w:pPr>
      <w:r>
        <w:t xml:space="preserve"> </w:t>
      </w:r>
    </w:p>
    <w:p>
      <w:pPr>
        <w:pStyle w:val="Quote"/>
        <w:pBdr>
          <w:left w:val="single" w:color="BFBFBF" w:sz="12" w:space="8"/>
        </w:pBdr>
        <w:ind w:left="300"/>
      </w:pPr>
      <w:r>
        <w:rPr/>
        <w:t xml:space="preserve">“‘大吉隆坡’计划涵盖吉隆坡与雪兰莪。”</w:t>
      </w:r>
    </w:p>
    <w:p>
      <w:pPr>
        <w:spacing w:after="200"/>
      </w:pPr>
      <w:r>
        <w:t xml:space="preserve"> </w:t>
      </w:r>
    </w:p>
    <w:p>
      <w:r>
        <w:rPr/>
        <w:t xml:space="preserve">[</w:t>
      </w:r>
      <w:r>
        <w:rPr/>
        <w:t xml:space="preserve">9] Enticott, A., &amp; Dew, A. (2026). </w:t>
      </w:r>
      <w:r>
        <w:rPr>
          <w:i/>
        </w:rPr>
        <w:t xml:space="preserve">A systematic review of the characteristics of programs and services resulting in competitive employment outcomes for young people with an intellectual disability</w:t>
      </w:r>
      <w:r>
        <w:rPr/>
        <w:t xml:space="preserve">. Journal of Intellectual &amp; Developmental Disability, 51(1), 27–38. </w:t>
      </w:r>
      <w:r>
        <w:rPr>
          <w:color w:val="0563C1"/>
        </w:rPr>
        <w:t xml:space="preserve">https://hf.nstl.gov.cn/paper_detail.html?id=7a5ec432b2b22421e9e8616cd44ec638</w:t>
      </w:r>
    </w:p>
    <w:p>
      <w:pPr>
        <w:spacing w:after="200"/>
      </w:pPr>
      <w:r>
        <w:t xml:space="preserve"> </w:t>
      </w:r>
    </w:p>
    <w:p>
      <w:pPr>
        <w:pStyle w:val="Quote"/>
        <w:pBdr>
          <w:left w:val="single" w:color="BFBFBF" w:sz="12" w:space="8"/>
        </w:pBdr>
        <w:ind w:left="300"/>
      </w:pPr>
      <w:r>
        <w:rPr/>
        <w:t xml:space="preserve">“Transitioning to paid employment is part of the natural progression to adulthood, yet the number of people with an intellectual disability who are competitively employed globally is</w:t>
      </w:r>
      <w:r>
        <w:rPr/>
        <w:t xml:space="preserve"> low.”</w:t>
      </w:r>
    </w:p>
    <w:p>
      <w:pPr>
        <w:spacing w:after="200"/>
      </w:pPr>
      <w:r>
        <w:t xml:space="preserve"> </w:t>
      </w:r>
    </w:p>
    <w:p>
      <w:r>
        <w:rPr/>
        <w:t xml:space="preserve">[</w:t>
      </w:r>
      <w:r>
        <w:rPr/>
        <w:t xml:space="preserve">10] Wehman, P., Taylor, J., Brooke, V., Avellone, L., Whittenburg, H., Ham, W., &amp; Carr, S. (2018). </w:t>
      </w:r>
      <w:r>
        <w:rPr>
          <w:i/>
        </w:rPr>
        <w:t xml:space="preserve">Supported employment: Historical origins, evidence, and current status</w:t>
      </w:r>
      <w:r>
        <w:rPr/>
        <w:t xml:space="preserve">. Journal of Vocational Rehabilitation, 49(3), 247–261. </w:t>
      </w:r>
      <w:r>
        <w:rPr>
          <w:color w:val="0563C1"/>
        </w:rPr>
        <w:t xml:space="preserve">https://doi.org/10.3233/JVR-180968</w:t>
      </w:r>
    </w:p>
    <w:p>
      <w:pPr>
        <w:spacing w:after="200"/>
      </w:pPr>
      <w:r>
        <w:t xml:space="preserve"> </w:t>
      </w:r>
    </w:p>
    <w:p>
      <w:pPr>
        <w:pStyle w:val="Quote"/>
        <w:pBdr>
          <w:left w:val="single" w:color="BFBFBF" w:sz="12" w:space="8"/>
        </w:pBdr>
        <w:ind w:left="300"/>
      </w:pPr>
      <w:r>
        <w:rPr/>
        <w:t xml:space="preserve">“Supported employment provides ongoing support to individuals with significant disabilities to enable them to work in integrated community</w:t>
      </w:r>
      <w:r>
        <w:rPr/>
        <w:t xml:space="preserve"> settings.”</w:t>
      </w:r>
    </w:p>
    <w:p>
      <w:pPr>
        <w:spacing w:after="200"/>
      </w:pPr>
      <w:r>
        <w:t xml:space="preserve"> </w:t>
      </w:r>
    </w:p>
    <w:p>
      <w:r>
        <w:rPr/>
        <w:t xml:space="preserve">[</w:t>
      </w:r>
      <w:r>
        <w:rPr/>
        <w:t xml:space="preserve">11] Migliore, A., Butterworth, J., &amp; Zalewska, A. (2014). </w:t>
      </w:r>
      <w:r>
        <w:rPr>
          <w:i/>
        </w:rPr>
        <w:t xml:space="preserve">Trends in vocational rehabilitation services and outcomes of youth with autism</w:t>
      </w:r>
      <w:r>
        <w:rPr/>
        <w:t xml:space="preserve">. Journal of Vocational Rehabilitation, 40(3), 177–189. </w:t>
      </w:r>
      <w:r>
        <w:rPr>
          <w:color w:val="0563C1"/>
        </w:rPr>
        <w:t xml:space="preserve">https://doi.org/10.3233/JVR-140679</w:t>
      </w:r>
    </w:p>
    <w:p>
      <w:pPr>
        <w:spacing w:after="200"/>
      </w:pPr>
      <w:r>
        <w:t xml:space="preserve"> </w:t>
      </w:r>
    </w:p>
    <w:p>
      <w:pPr>
        <w:pStyle w:val="Quote"/>
        <w:pBdr>
          <w:left w:val="single" w:color="BFBFBF" w:sz="12" w:space="8"/>
        </w:pBdr>
        <w:ind w:left="300"/>
      </w:pPr>
      <w:r>
        <w:rPr/>
        <w:t xml:space="preserve">“Vocational rehabilitation outcomes for youth with autism are shaped by the services they receive and the quality of transition</w:t>
      </w:r>
      <w:r>
        <w:rPr/>
        <w:t xml:space="preserve"> planning.”</w:t>
      </w:r>
    </w:p>
    <w:p>
      <w:pPr>
        <w:spacing w:after="200"/>
      </w:pPr>
      <w:r>
        <w:t xml:space="preserve"> </w:t>
      </w:r>
    </w:p>
    <w:p>
      <w:r>
        <w:rPr/>
        <w:t xml:space="preserve">[</w:t>
      </w:r>
      <w:r>
        <w:rPr/>
        <w:t xml:space="preserve">12] O’Leary, E., Cooper, R., &amp; Hughes, M. (2021). </w:t>
      </w:r>
      <w:r>
        <w:rPr>
          <w:i/>
        </w:rPr>
        <w:t xml:space="preserve">Understanding the employment gap for autistic people: Barriers to employment</w:t>
      </w:r>
      <w:r>
        <w:rPr/>
        <w:t xml:space="preserve">. European Journal of Special Needs Education, 36(3), 381–396. </w:t>
      </w:r>
      <w:r>
        <w:rPr>
          <w:color w:val="0563C1"/>
        </w:rPr>
        <w:t xml:space="preserve">https://doi.org/10.1080/08856257.2020.1752539</w:t>
      </w:r>
    </w:p>
    <w:p>
      <w:pPr>
        <w:spacing w:after="200"/>
      </w:pPr>
      <w:r>
        <w:t xml:space="preserve"> </w:t>
      </w:r>
    </w:p>
    <w:p>
      <w:pPr>
        <w:pStyle w:val="Quote"/>
        <w:pBdr>
          <w:left w:val="single" w:color="BFBFBF" w:sz="12" w:space="8"/>
        </w:pBdr>
        <w:ind w:left="300"/>
      </w:pPr>
      <w:r>
        <w:rPr/>
        <w:t xml:space="preserve">“Barriers to employment include recruitment practices, lack of workplace accommodations, and limited post-school transition</w:t>
      </w:r>
      <w:r>
        <w:rPr/>
        <w:t xml:space="preserve"> support.”</w:t>
      </w:r>
    </w:p>
    <w:p>
      <w:pPr>
        <w:spacing w:after="200"/>
      </w:pPr>
      <w:r>
        <w:t xml:space="preserve"> </w:t>
      </w:r>
    </w:p>
    <w:p>
      <w:r>
        <w:rPr/>
        <w:t xml:space="preserve">[</w:t>
      </w:r>
      <w:r>
        <w:rPr/>
        <w:t xml:space="preserve">13] Morgan, R. L., Ellerd, D. A., &amp; Gothberg, J. E. (2022). </w:t>
      </w:r>
      <w:r>
        <w:rPr>
          <w:i/>
        </w:rPr>
        <w:t xml:space="preserve">High school transition and employment for youth with disabilities</w:t>
      </w:r>
      <w:r>
        <w:rPr/>
        <w:t xml:space="preserve">. Career Development and Transition for Exceptional Individuals, 45(1), 34–44. </w:t>
      </w:r>
      <w:r>
        <w:rPr>
          <w:color w:val="0563C1"/>
        </w:rPr>
        <w:t xml:space="preserve">https://doi.org/10.1177/21651434211030691</w:t>
      </w:r>
    </w:p>
    <w:p>
      <w:pPr>
        <w:spacing w:after="200"/>
      </w:pPr>
      <w:r>
        <w:t xml:space="preserve"> </w:t>
      </w:r>
    </w:p>
    <w:p>
      <w:pPr>
        <w:pStyle w:val="Quote"/>
        <w:pBdr>
          <w:left w:val="single" w:color="BFBFBF" w:sz="12" w:space="8"/>
        </w:pBdr>
        <w:ind w:left="300"/>
      </w:pPr>
      <w:r>
        <w:rPr/>
        <w:t xml:space="preserve">“Effective transition requires coordinated planning among schools, families, employers, and adult service</w:t>
      </w:r>
      <w:r>
        <w:rPr/>
        <w:t xml:space="preserve"> providers.”</w:t>
      </w:r>
    </w:p>
    <w:p>
      <w:pPr>
        <w:spacing w:after="200"/>
      </w:pPr>
      <w:r>
        <w:t xml:space="preserve"> </w:t>
      </w:r>
    </w:p>
    <w:p>
      <w:r>
        <w:rPr/>
        <w:t xml:space="preserve">[</w:t>
      </w:r>
      <w:r>
        <w:rPr/>
        <w:t xml:space="preserve">14] Taconet, A., Langdon, S., Esposito, C., Mazzotti, V. L., Morningstar, M. E., &amp; Lombardi, A. (2023). </w:t>
      </w:r>
      <w:r>
        <w:rPr>
          <w:i/>
        </w:rPr>
        <w:t xml:space="preserve">Using data to support college and career readiness for students with disabilities</w:t>
      </w:r>
      <w:r>
        <w:rPr/>
        <w:t xml:space="preserve">. Intervention in School and Clinic, 59(2), 115–123. </w:t>
      </w:r>
      <w:r>
        <w:rPr>
          <w:color w:val="0563C1"/>
        </w:rPr>
        <w:t xml:space="preserve">https://doi.org/10.1177/10534512231183361</w:t>
      </w:r>
    </w:p>
    <w:p>
      <w:pPr>
        <w:spacing w:after="200"/>
      </w:pPr>
      <w:r>
        <w:t xml:space="preserve"> </w:t>
      </w:r>
    </w:p>
    <w:p>
      <w:pPr>
        <w:pStyle w:val="Quote"/>
        <w:pBdr>
          <w:left w:val="single" w:color="BFBFBF" w:sz="12" w:space="8"/>
        </w:pBdr>
        <w:ind w:left="300"/>
      </w:pPr>
      <w:r>
        <w:rPr/>
        <w:t xml:space="preserve">“College and career readiness data should inform transition planning for students with</w:t>
      </w:r>
      <w:r>
        <w:rPr/>
        <w:t xml:space="preserve"> disabilities.”</w:t>
      </w:r>
    </w:p>
    <w:p>
      <w:pPr>
        <w:spacing w:after="200"/>
      </w:pPr>
      <w:r>
        <w:t xml:space="preserve"> </w:t>
      </w:r>
    </w:p>
    <w:p>
      <w:r>
        <w:rPr/>
        <w:t xml:space="preserve">[</w:t>
      </w:r>
      <w:r>
        <w:rPr/>
        <w:t xml:space="preserve">15] 中国新闻网. (2021, March 23). </w:t>
      </w:r>
      <w:r>
        <w:rPr>
          <w:i/>
        </w:rPr>
        <w:t xml:space="preserve">“支持性就业服务”为心智障碍者拓宽就业大门</w:t>
      </w:r>
      <w:r>
        <w:rPr/>
        <w:t xml:space="preserve">. </w:t>
      </w:r>
      <w:r>
        <w:rPr>
          <w:color w:val="0563C1"/>
        </w:rPr>
        <w:t xml:space="preserve">https://www.chinanews.com/sh/2021/03-23/9438820.shtml</w:t>
      </w:r>
    </w:p>
    <w:p>
      <w:pPr>
        <w:spacing w:after="200"/>
      </w:pPr>
      <w:r>
        <w:t xml:space="preserve"> </w:t>
      </w:r>
    </w:p>
    <w:p>
      <w:pPr>
        <w:pStyle w:val="Quote"/>
        <w:pBdr>
          <w:left w:val="single" w:color="BFBFBF" w:sz="12" w:space="8"/>
        </w:pBdr>
        <w:ind w:left="300"/>
      </w:pPr>
      <w:r>
        <w:rPr/>
        <w:t xml:space="preserve">“通过专业的就业辅导员对心智障碍者进行评估、培训，结合企业用工需求，匹配相关岗位后提供一定时期的在岗支持。”</w:t>
      </w:r>
    </w:p>
    <w:sectPr>
      <w:pgSz w:w="11906" w:h="16838" w:orient="portrait"/>
      <w:pgMar w:top="1440" w:right="1440" w:bottom="1440" w:left="1440" w:header="720" w:footer="720" w:gutter="0"/>
    </w:sectPr>
  </w:body>
</w:document>
</file>

<file path=word/styles.xml><?xml version="1.0" encoding="utf-8"?>
<w:styles xmlns:w="http://schemas.openxmlformats.org/wordprocessingml/2006/main" xmlns:mc="http://schemas.openxmlformats.org/markup-compatibility/2006" xmlns:o="urn:schemas-microsoft-com:office:office" xmlns:r="http://schemas.openxmlformats.org/officeDocument/2006/relationships" xmlns:m="http://schemas.openxmlformats.org/officeDocument/2006/math" xmlns:v="urn:schemas-microsoft-com:vml" xmlns:w14="http://schemas.microsoft.com/office/word/2010/wordml" xmlns:w10="urn:schemas-microsoft-com:office:word" xmlns:sl="http://schemas.openxmlformats.org/schemaLibrary/2006/main" xmlns:wpsCustomData="http://www.wps.cn/officeDocument/2013/wpsCustomData" mc:Ignorable="w14">
  <w:style w:type="paragraph" w:styleId="18">
    <w:name w:val="toc 6"/>
    <w:basedOn w:val="Normal"/>
    <w:next w:val="Normal"/>
    <w:pPr>
      <w:spacing w:after="100"/>
      <w:ind w:left="1440"/>
    </w:pPr>
    <w:rPr>
      <w:rFonts w:ascii="Calibri" w:eastAsia="思源黑体" w:hAnsi="Calibri" w:cs="Times New Roman"/>
      <w:sz w:val="22"/>
    </w:rPr>
  </w:style>
  <w:style w:type="paragraph" w:styleId="Quote">
    <w:name w:val="Quote"/>
    <w:basedOn w:val="Normal"/>
    <w:next w:val="Normal"/>
    <w:pPr>
      <w:spacing w:before="0" w:after="120"/>
      <w:ind w:left="300"/>
    </w:pPr>
    <w:rPr>
      <w:rFonts w:ascii="Source Han Sans SC" w:eastAsia="思源黑体" w:hAnsi="Source Han Sans SC" w:cs="Source Han Sans SC"/>
      <w:sz w:val="24"/>
    </w:rPr>
  </w:style>
  <w:style w:type="paragraph" w:styleId="Heading7">
    <w:name w:val="heading 7"/>
    <w:basedOn w:val="Normal"/>
    <w:next w:val="Normal"/>
    <w:pPr>
      <w:keepNext/>
      <w:keepLines/>
      <w:spacing w:before="120" w:after="0"/>
      <w:outlineLvl w:val="6"/>
    </w:pPr>
    <w:rPr>
      <w:color w:val="1F3763"/>
      <w:sz w:val="20"/>
    </w:rPr>
  </w:style>
  <w:style w:type="paragraph" w:styleId="CodeBlock">
    <w:name w:val="CodeBlock"/>
    <w:basedOn w:val="Normal"/>
    <w:next w:val="Normal"/>
    <w:pPr>
      <w:spacing w:before="0" w:after="0"/>
      <w:ind w:left="360"/>
    </w:pPr>
    <w:rPr>
      <w:rFonts w:ascii="Consolas" w:eastAsia="Consolas" w:hAnsi="Consolas" w:cs="Consolas"/>
      <w:sz w:val="18"/>
    </w:rPr>
  </w:style>
  <w:style w:type="table" w:styleId="ab">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ing5">
    <w:name w:val="heading 5"/>
    <w:basedOn w:val="Normal"/>
    <w:next w:val="Normal"/>
    <w:pPr>
      <w:keepNext/>
      <w:keepLines/>
      <w:spacing w:before="0" w:after="200"/>
      <w:outlineLvl w:val="4"/>
    </w:pPr>
    <w:rPr>
      <w:rFonts w:ascii="Source Han Sans SC" w:eastAsia="思源黑体" w:hAnsi="Source Han Sans SC" w:cs="Source Han Sans SC"/>
      <w:b/>
      <w:color w:val="000000"/>
      <w:sz w:val="24"/>
    </w:rPr>
  </w:style>
  <w:style w:type="paragraph" w:styleId="Heading9">
    <w:name w:val="heading 9"/>
    <w:basedOn w:val="Normal"/>
    <w:next w:val="Normal"/>
    <w:pPr>
      <w:keepNext/>
      <w:keepLines/>
      <w:spacing w:before="120" w:after="0"/>
      <w:outlineLvl w:val="8"/>
    </w:pPr>
    <w:rPr>
      <w:color w:val="272727"/>
      <w:sz w:val="18"/>
    </w:rPr>
  </w:style>
  <w:style w:type="paragraph" w:styleId="Title">
    <w:name w:val="标题"/>
    <w:basedOn w:val="Normal"/>
    <w:next w:val="Normal"/>
    <w:pPr>
      <w:spacing w:before="240" w:after="60"/>
      <w:jc w:val="center"/>
    </w:pPr>
    <w:rPr>
      <w:rFonts w:ascii="Calibri Light" w:eastAsia="思源黑体" w:hAnsi="Calibri Light" w:cs="Calibri Light"/>
      <w:b/>
      <w:color w:val="2F5496"/>
      <w:sz w:val="56"/>
    </w:rPr>
  </w:style>
  <w:style w:type="paragraph" w:styleId="21">
    <w:name w:val="toc 9"/>
    <w:basedOn w:val="Normal"/>
    <w:next w:val="Normal"/>
    <w:pPr>
      <w:spacing w:after="100"/>
      <w:ind w:left="2160"/>
    </w:pPr>
    <w:rPr>
      <w:rFonts w:ascii="Calibri" w:eastAsia="思源黑体" w:hAnsi="Calibri" w:cs="Times New Roman"/>
      <w:sz w:val="22"/>
    </w:rPr>
  </w:style>
  <w:style w:type="paragraph" w:styleId="12">
    <w:name w:val="TOCHeading"/>
    <w:basedOn w:val="Normal"/>
    <w:next w:val="Normal"/>
    <w:pPr>
      <w:spacing w:before="240" w:after="120"/>
      <w:jc w:val="center"/>
    </w:pPr>
    <w:rPr>
      <w:rFonts w:ascii="Calibri" w:eastAsia="思源黑体" w:hAnsi="Calibri" w:cs="Times New Roman"/>
      <w:b/>
      <w:sz w:val="26"/>
    </w:rPr>
  </w:style>
  <w:style w:type="paragraph" w:styleId="Heading1">
    <w:name w:val="heading 1"/>
    <w:basedOn w:val="Normal"/>
    <w:next w:val="Normal"/>
    <w:pPr>
      <w:keepNext/>
      <w:keepLines/>
      <w:spacing w:before="0" w:after="200"/>
      <w:jc w:val="left"/>
      <w:outlineLvl w:val="0"/>
    </w:pPr>
    <w:rPr>
      <w:rFonts w:ascii="Source Han Sans SC" w:eastAsia="思源黑体" w:hAnsi="Source Han Sans SC" w:cs="Source Han Sans SC"/>
      <w:b/>
      <w:color w:val="000000"/>
      <w:sz w:val="40"/>
    </w:rPr>
  </w:style>
  <w:style w:type="paragraph" w:styleId="Heading3">
    <w:name w:val="heading 3"/>
    <w:basedOn w:val="Normal"/>
    <w:next w:val="Normal"/>
    <w:pPr>
      <w:keepNext/>
      <w:keepLines/>
      <w:spacing w:before="0" w:after="200"/>
      <w:outlineLvl w:val="2"/>
    </w:pPr>
    <w:rPr>
      <w:rFonts w:ascii="Source Han Sans SC" w:eastAsia="思源黑体" w:hAnsi="Source Han Sans SC" w:cs="Source Han Sans SC"/>
      <w:b/>
      <w:color w:val="000000"/>
      <w:sz w:val="32"/>
    </w:rPr>
  </w:style>
  <w:style w:type="paragraph" w:styleId="Heading4">
    <w:name w:val="heading 4"/>
    <w:basedOn w:val="Normal"/>
    <w:next w:val="Normal"/>
    <w:pPr>
      <w:keepNext/>
      <w:keepLines/>
      <w:spacing w:before="0" w:after="200"/>
      <w:outlineLvl w:val="3"/>
    </w:pPr>
    <w:rPr>
      <w:rFonts w:ascii="Source Han Sans SC" w:eastAsia="思源黑体" w:hAnsi="Source Han Sans SC" w:cs="Source Han Sans SC"/>
      <w:b/>
      <w:color w:val="000000"/>
      <w:sz w:val="28"/>
    </w:rPr>
  </w:style>
  <w:style w:type="paragraph" w:styleId="13">
    <w:name w:val="toc 1"/>
    <w:basedOn w:val="Normal"/>
    <w:next w:val="Normal"/>
    <w:pPr>
      <w:spacing w:after="100"/>
      <w:ind w:left="0"/>
    </w:pPr>
    <w:rPr>
      <w:rFonts w:ascii="Calibri" w:eastAsia="思源黑体" w:hAnsi="Calibri" w:cs="Times New Roman"/>
      <w:sz w:val="22"/>
    </w:rPr>
  </w:style>
  <w:style w:type="paragraph" w:styleId="ListParagraph">
    <w:name w:val="List Paragraph"/>
    <w:basedOn w:val="Normal"/>
    <w:next w:val="Normal"/>
    <w:pPr>
      <w:spacing w:before="0" w:after="100"/>
      <w:jc w:val="left"/>
    </w:pPr>
  </w:style>
  <w:style w:type="table" w:styleId="a1" w:default="true">
    <w:name w:val="Normal Table"/>
    <w:tblPr>
      <w:tblInd w:w="0" w:type="dxa"/>
      <w:tblCellMar>
        <w:top w:w="0" w:type="dxa"/>
        <w:left w:w="108" w:type="dxa"/>
        <w:bottom w:w="0" w:type="dxa"/>
        <w:right w:w="108" w:type="dxa"/>
      </w:tblCellMar>
    </w:tblPr>
  </w:style>
  <w:style w:type="paragraph" w:styleId="20">
    <w:name w:val="toc 8"/>
    <w:basedOn w:val="Normal"/>
    <w:next w:val="Normal"/>
    <w:pPr>
      <w:spacing w:after="100"/>
      <w:ind w:left="1920"/>
    </w:pPr>
    <w:rPr>
      <w:rFonts w:ascii="Calibri" w:eastAsia="思源黑体" w:hAnsi="Calibri" w:cs="Times New Roman"/>
      <w:sz w:val="22"/>
    </w:rPr>
  </w:style>
  <w:style w:type="paragraph" w:styleId="Figure">
    <w:name w:val="Figure"/>
    <w:basedOn w:val="Normal"/>
    <w:next w:val="FigureCaption"/>
    <w:pPr>
      <w:keepNext/>
      <w:keepLines/>
      <w:spacing w:before="240" w:after="0"/>
    </w:pPr>
    <w:rPr>
      <w:rFonts w:ascii="Source Han Sans SC" w:eastAsia="思源黑体" w:hAnsi="Source Han Sans SC" w:cs="Source Han Sans SC"/>
      <w:sz w:val="24"/>
    </w:rPr>
  </w:style>
  <w:style w:type="paragraph" w:styleId="Normal" w:default="true">
    <w:name w:val="Normal"/>
    <w:pPr>
      <w:spacing w:before="0" w:after="120"/>
      <w:jc w:val="left"/>
    </w:pPr>
    <w:rPr>
      <w:rFonts w:ascii="Source Han Sans SC" w:eastAsia="思源黑体" w:hAnsi="Source Han Sans SC" w:cs="Source Han Sans SC"/>
      <w:sz w:val="24"/>
    </w:rPr>
  </w:style>
  <w:style w:type="paragraph" w:styleId="Heading6">
    <w:name w:val="heading 6"/>
    <w:basedOn w:val="Normal"/>
    <w:next w:val="Normal"/>
    <w:pPr>
      <w:keepNext/>
      <w:keepLines/>
      <w:spacing w:before="0" w:after="200"/>
      <w:outlineLvl w:val="5"/>
    </w:pPr>
    <w:rPr>
      <w:rFonts w:ascii="Source Han Sans SC" w:eastAsia="思源黑体" w:hAnsi="Source Han Sans SC" w:cs="Source Han Sans SC"/>
      <w:b/>
      <w:color w:val="000000"/>
      <w:sz w:val="20"/>
    </w:rPr>
  </w:style>
  <w:style w:type="paragraph" w:styleId="Heading8">
    <w:name w:val="heading 8"/>
    <w:basedOn w:val="Normal"/>
    <w:next w:val="Normal"/>
    <w:pPr>
      <w:keepNext/>
      <w:keepLines/>
      <w:spacing w:before="120" w:after="0"/>
      <w:outlineLvl w:val="7"/>
    </w:pPr>
    <w:rPr>
      <w:i/>
      <w:color w:val="272727"/>
      <w:sz w:val="20"/>
    </w:rPr>
  </w:style>
  <w:style w:type="paragraph" w:styleId="16">
    <w:name w:val="toc 4"/>
    <w:basedOn w:val="Normal"/>
    <w:next w:val="Normal"/>
    <w:pPr>
      <w:spacing w:after="100"/>
      <w:ind w:left="960"/>
    </w:pPr>
    <w:rPr>
      <w:rFonts w:ascii="Calibri" w:eastAsia="思源黑体" w:hAnsi="Calibri" w:cs="Times New Roman"/>
      <w:sz w:val="22"/>
    </w:rPr>
  </w:style>
  <w:style w:type="paragraph" w:styleId="17">
    <w:name w:val="toc 5"/>
    <w:basedOn w:val="Normal"/>
    <w:next w:val="Normal"/>
    <w:pPr>
      <w:spacing w:after="100"/>
      <w:ind w:left="1200"/>
    </w:pPr>
    <w:rPr>
      <w:rFonts w:ascii="Calibri" w:eastAsia="思源黑体" w:hAnsi="Calibri" w:cs="Times New Roman"/>
      <w:sz w:val="22"/>
    </w:rPr>
  </w:style>
  <w:style w:type="character" w:styleId="Strong">
    <w:name w:val="加粗"/>
    <w:rPr>
      <w:b/>
    </w:rPr>
  </w:style>
  <w:style w:type="paragraph" w:styleId="Heading2">
    <w:name w:val="heading 2"/>
    <w:basedOn w:val="Normal"/>
    <w:next w:val="Normal"/>
    <w:pPr>
      <w:keepNext/>
      <w:keepLines/>
      <w:spacing w:before="0" w:after="200"/>
      <w:outlineLvl w:val="1"/>
    </w:pPr>
    <w:rPr>
      <w:rFonts w:ascii="Source Han Sans SC" w:eastAsia="思源黑体" w:hAnsi="Source Han Sans SC" w:cs="Source Han Sans SC"/>
      <w:b/>
      <w:color w:val="000000"/>
      <w:sz w:val="36"/>
    </w:rPr>
  </w:style>
  <w:style w:type="paragraph" w:styleId="14">
    <w:name w:val="toc 2"/>
    <w:basedOn w:val="Normal"/>
    <w:next w:val="Normal"/>
    <w:pPr>
      <w:spacing w:after="100"/>
      <w:ind w:left="240"/>
    </w:pPr>
    <w:rPr>
      <w:rFonts w:ascii="Calibri" w:eastAsia="思源黑体" w:hAnsi="Calibri" w:cs="Times New Roman"/>
      <w:sz w:val="22"/>
    </w:rPr>
  </w:style>
  <w:style w:type="paragraph" w:styleId="19">
    <w:name w:val="toc 7"/>
    <w:basedOn w:val="Normal"/>
    <w:next w:val="Normal"/>
    <w:pPr>
      <w:spacing w:after="100"/>
      <w:ind w:left="1680"/>
    </w:pPr>
    <w:rPr>
      <w:rFonts w:ascii="Calibri" w:eastAsia="思源黑体" w:hAnsi="Calibri" w:cs="Times New Roman"/>
      <w:sz w:val="22"/>
    </w:rPr>
  </w:style>
  <w:style w:type="character" w:styleId="Emphasis">
    <w:name w:val="强调"/>
    <w:rPr>
      <w:i/>
    </w:rPr>
  </w:style>
  <w:style w:type="character" w:styleId="CodeChar">
    <w:name w:val="代码字符"/>
    <w:rPr>
      <w:rFonts w:ascii="Consolas" w:eastAsia="Consolas" w:hAnsi="Consolas" w:cs="Consolas"/>
      <w:sz w:val="18"/>
    </w:rPr>
  </w:style>
  <w:style w:type="paragraph" w:styleId="FigureCaption">
    <w:name w:val="Figure Caption"/>
    <w:basedOn w:val="Normal"/>
    <w:next w:val="Normal"/>
    <w:pPr>
      <w:keepLines/>
      <w:spacing w:before="0" w:after="120"/>
    </w:pPr>
    <w:rPr>
      <w:rFonts w:ascii="Source Han Sans SC" w:eastAsia="思源黑体" w:hAnsi="Source Han Sans SC" w:cs="Source Han Sans SC"/>
      <w:i/>
      <w:sz w:val="24"/>
    </w:rPr>
  </w:style>
  <w:style w:type="paragraph" w:styleId="Subtitle">
    <w:name w:val="副标题"/>
    <w:basedOn w:val="Normal"/>
    <w:next w:val="Normal"/>
    <w:pPr>
      <w:spacing w:before="0" w:after="160"/>
      <w:jc w:val="center"/>
    </w:pPr>
    <w:rPr>
      <w:rFonts w:ascii="Calibri" w:eastAsia="思源黑体" w:hAnsi="Calibri" w:cs="Calibri"/>
      <w:i/>
      <w:color w:val="7030A0"/>
      <w:sz w:val="30"/>
    </w:rPr>
  </w:style>
  <w:style w:type="paragraph" w:styleId="15">
    <w:name w:val="toc 3"/>
    <w:basedOn w:val="Normal"/>
    <w:next w:val="Normal"/>
    <w:pPr>
      <w:spacing w:after="100"/>
      <w:ind w:left="480"/>
    </w:pPr>
    <w:rPr>
      <w:rFonts w:ascii="Calibri" w:eastAsia="思源黑体" w:hAnsi="Calibri" w:cs="Times New Roman"/>
      <w:sz w:val="22"/>
    </w:rPr>
  </w:style>
</w:styles>
</file>

<file path=word/_rels/document.xml.rels><?xml version="1.0" encoding="UTF-8"?>
<Relationships xmlns="http://schemas.openxmlformats.org/package/2006/relationships">
  <Relationship Id="rId1" Type="http://schemas.openxmlformats.org/officeDocument/2006/relationships/styles" Target="styles.xml"></Relationship>
  <Relationship Id="rId2" Type="http://schemas.openxmlformats.org/officeDocument/2006/relationships/image" Target="media/fig_1_chain_1.jpeg"></Relationship>
  <Relationship Id="rId3" Type="http://schemas.openxmlformats.org/officeDocument/2006/relationships/image" Target="media/fig_2_shanghai_evidence_2.jpeg"></Relationship>
</Relationship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{"Label":"1","ContentProducer":"001191440300708461136T1WFUO","ProduceID":"27e3856b372d7eb4f69a52e80a8e6921-WbuM_上海与吉隆坡大都市区特教职业教育体系比较.docx","ReservedCode1":"{\"Type\":\" TC260PG\",\"Version\":1,\"Bindings\":[{\"Type\":\"soft\",\"AlgID\":\"sm3\",\"Value\":\"134f2ff40f1a7d0acef7a6e18595af71e49caa8e3ba4767f8182fa552e8dd08f\"},{\"Type\":\"hash\",\"AlgID\":\"sm3\",\"Value\":\"e7fd410041c6cc7d0056a55a348c22c8903e920384d7d3c29a860738e96b4081\"}],\"PubSD\":[{\"Type\":\"DS\",\"AlgID\":\"sm2\",\"TBSData\":{\"Type\":\"Binding\",\"BType\":\"hash\"},\"Signature\":\"30450220541a7bc44c4f8dac73b387e5def065332ac4459818f6249f3f043c8815526a090221008967f76fc20090b7c83fd6ad9063ee7a0cee8110b0892d070667e1404f4ae058\"},{\"Type\":\"PubKey\",\"AlgID\":\"sm2\",\"KeyValue\":\"0407f79b28a17a752b3aae4305c98b48978213832729a2571850b1310b2bc9fe8fee039ccf25ebfeac27502414d9fcef792d777183c98893d226171c2f7a3289a2\"}],\"Extension\":{\"Timestamp\":1790489709,\"KeyVersion\":\"v1-TxLeOmf7bqU223\"}}","ContentPropagator":"001191440300708461136T1WFUO","PropagateID":"上海与吉隆坡大都市区特教职业教育体系比较.docx","ReservedCode2":"{\"Type\":\" TC260PG\",\"Version\":1,\"Bindings\":[{\"Type\":\"soft\",\"AlgID\":\"sm3\",\"Value\":\"134f2ff40f1a7d0acef7a6e18595af71e49caa8e3ba4767f8182fa552e8dd08f\"},{\"Type\":\"hash\",\"AlgID\":\"sm3\",\"Value\":\"d830da47516c7a62ff3abd011de42ae1ba5f8e8d092317ed1bec5dd391c75fcb\"}],\"PubSD\":[{\"Type\":\"DS\",\"AlgID\":\"sm2\",\"TBSData\":{\"Type\":\"Binding\",\"BType\":\"hash\"},\"Signature\":\"304502207895386a85bc8d34b972c3cdf59f3284ec9962dc27031a0018a2c701e84be6bc02210098666633b30c5ad6c3597bab41ed553998a92b7fd95087b8440d8951e6ef07f3\"},{\"Type\":\"PubKey\",\"AlgID\":\"sm2\",\"KeyValue\":\"0407f79b28a17a752b3aae4305c98b48978213832729a2571850b1310b2bc9fe8fee039ccf25ebfeac27502414d9fcef792d777183c98893d226171c2f7a3289a2\"}],\"Extension\":{\"Timestamp\":1790489709,\"KeyVersion\":\"v1-TxLeOmf7bqU223\"}}"}</vt:lpwstr>
  </property>
</Properties>
</file>